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64BC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2522635">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4907E58">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r>
              <w:rPr>
                <w:rFonts w:ascii="黑体" w:hAnsi="黑体" w:eastAsia="黑体"/>
                <w:sz w:val="21"/>
                <w:szCs w:val="21"/>
              </w:rPr>
              <w:fldChar w:fldCharType="end"/>
            </w:r>
            <w:bookmarkEnd w:id="0"/>
          </w:p>
        </w:tc>
      </w:tr>
      <w:tr w14:paraId="32BFC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19E4C1">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71E98F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6998FB">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BE030E0">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01</w:t>
            </w:r>
            <w:r>
              <w:rPr>
                <w:rFonts w:ascii="黑体" w:hAnsi="黑体" w:eastAsia="黑体"/>
                <w:sz w:val="21"/>
                <w:szCs w:val="21"/>
              </w:rPr>
              <w:fldChar w:fldCharType="end"/>
            </w:r>
            <w:bookmarkEnd w:id="2"/>
          </w:p>
        </w:tc>
      </w:tr>
    </w:tbl>
    <w:p w14:paraId="02D13B1C">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14:paraId="2FD5461D">
      <w:pPr>
        <w:pStyle w:val="196"/>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3EF8F12">
      <w:pPr>
        <w:pStyle w:val="197"/>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850696D">
      <w:pPr>
        <w:spacing w:line="240" w:lineRule="auto"/>
        <w:rPr>
          <w:rFonts w:hint="eastAsia" w:ascii="黑体" w:hAnsi="黑体" w:eastAsia="黑体"/>
          <w:kern w:val="0"/>
          <w:sz w:val="10"/>
          <w:szCs w:val="10"/>
        </w:rPr>
      </w:pPr>
      <w:r>
        <w:rPr>
          <w:rFonts w:hint="eastAsia" w:ascii="黑体" w:hAnsi="黑体" w:eastAsia="黑体"/>
          <w:kern w:val="0"/>
          <w:sz w:val="10"/>
          <w:szCs w:val="10"/>
        </w:rPr>
        <w:pict>
          <v:line id="直接连接符 73" o:spid="_x0000_s1027"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7FE943CD">
      <w:pPr>
        <w:pStyle w:val="51"/>
        <w:framePr w:w="9639" w:h="6976" w:hRule="exact" w:hSpace="0" w:vSpace="0" w:wrap="around" w:hAnchor="page" w:y="6408"/>
        <w:jc w:val="center"/>
        <w:rPr>
          <w:rFonts w:hint="eastAsia" w:ascii="黑体" w:hAnsi="黑体" w:eastAsia="黑体"/>
          <w:b w:val="0"/>
          <w:bCs w:val="0"/>
          <w:w w:val="100"/>
        </w:rPr>
      </w:pPr>
    </w:p>
    <w:p w14:paraId="32DAFB12">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精神专科医院开放式病房管理规范</w:t>
      </w:r>
      <w:r>
        <w:fldChar w:fldCharType="end"/>
      </w:r>
      <w:bookmarkEnd w:id="9"/>
    </w:p>
    <w:p w14:paraId="15DEB516">
      <w:pPr>
        <w:framePr w:w="9639" w:h="6974" w:hRule="exact" w:wrap="around" w:vAnchor="page" w:hAnchor="page" w:x="1419" w:y="6408" w:anchorLock="1"/>
        <w:ind w:left="-1418"/>
      </w:pPr>
    </w:p>
    <w:p w14:paraId="1BD5D4C7">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management of open-door ward in psychiatric specialty hospitals</w:t>
      </w:r>
      <w:r>
        <w:rPr>
          <w:rFonts w:ascii="黑体" w:hAnsi="黑体" w:eastAsia="黑体"/>
          <w:szCs w:val="28"/>
        </w:rPr>
        <w:fldChar w:fldCharType="end"/>
      </w:r>
      <w:bookmarkEnd w:id="10"/>
    </w:p>
    <w:p w14:paraId="75508A37">
      <w:pPr>
        <w:framePr w:w="9639" w:h="6974" w:hRule="exact" w:wrap="around" w:vAnchor="page" w:hAnchor="page" w:x="1419" w:y="6408" w:anchorLock="1"/>
        <w:spacing w:line="760" w:lineRule="exact"/>
        <w:ind w:left="-1418"/>
      </w:pPr>
    </w:p>
    <w:p w14:paraId="2DD35B77">
      <w:pPr>
        <w:pStyle w:val="126"/>
        <w:framePr w:w="9639" w:h="6974" w:hRule="exact" w:wrap="around" w:vAnchor="page" w:hAnchor="page" w:x="1419" w:y="6408" w:anchorLock="1"/>
        <w:textAlignment w:val="bottom"/>
        <w:rPr>
          <w:rFonts w:eastAsia="黑体"/>
          <w:szCs w:val="28"/>
        </w:rPr>
      </w:pPr>
    </w:p>
    <w:p w14:paraId="2068A4E5">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98AB5AA">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96817BF">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963BDD2">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2760D6A">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5ED532F">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7C9CE3F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w:pict>
          <v:line id="直接连接符 5" o:spid="_x0000_s1026"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409B9288">
      <w:pPr>
        <w:pStyle w:val="92"/>
        <w:spacing w:after="360"/>
        <w:rPr>
          <w:rFonts w:hint="eastAsia"/>
        </w:rPr>
      </w:pPr>
      <w:bookmarkStart w:id="21" w:name="BookMark1"/>
      <w:bookmarkStart w:id="22" w:name="_Toc233558329"/>
      <w:bookmarkStart w:id="23" w:name="_Toc233381846"/>
      <w:bookmarkStart w:id="24" w:name="_Toc225873042"/>
      <w:bookmarkStart w:id="25" w:name="_Toc225874490"/>
      <w:r>
        <w:rPr>
          <w:rFonts w:hint="eastAsia"/>
          <w:spacing w:val="320"/>
        </w:rPr>
        <w:t>目</w:t>
      </w:r>
      <w:r>
        <w:rPr>
          <w:rFonts w:hint="eastAsia"/>
        </w:rPr>
        <w:t>次</w:t>
      </w:r>
    </w:p>
    <w:p w14:paraId="1E449A9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"_Toc233573705" </w:instrText>
      </w:r>
      <w:r>
        <w:fldChar w:fldCharType="separate"/>
      </w:r>
      <w:r>
        <w:rPr>
          <w:rStyle w:val="33"/>
        </w:rPr>
        <w:t>前言</w:t>
      </w:r>
      <w:r>
        <w:rPr>
          <w:rFonts w:hint="eastAsia"/>
        </w:rPr>
        <w:tab/>
      </w:r>
      <w:r>
        <w:rPr>
          <w:rFonts w:hint="eastAsia"/>
        </w:rPr>
        <w:fldChar w:fldCharType="begin"/>
      </w:r>
      <w:r>
        <w:rPr>
          <w:rFonts w:hint="eastAsia"/>
        </w:rPr>
        <w:instrText xml:space="preserve"> </w:instrText>
      </w:r>
      <w:r>
        <w:instrText xml:space="preserve">PAGEREF _Toc233573705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48EBB2C1">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"_Toc233573706" </w:instrText>
      </w:r>
      <w:r>
        <w:fldChar w:fldCharType="separate"/>
      </w:r>
      <w:r>
        <w:rPr>
          <w:rStyle w:val="33"/>
        </w:rPr>
        <w:t>1  范围</w:t>
      </w:r>
      <w:r>
        <w:rPr>
          <w:rFonts w:hint="eastAsia"/>
        </w:rPr>
        <w:tab/>
      </w:r>
      <w:r>
        <w:rPr>
          <w:rFonts w:hint="eastAsia"/>
        </w:rPr>
        <w:fldChar w:fldCharType="begin"/>
      </w:r>
      <w:r>
        <w:rPr>
          <w:rFonts w:hint="eastAsia"/>
        </w:rPr>
        <w:instrText xml:space="preserve"> </w:instrText>
      </w:r>
      <w:r>
        <w:instrText xml:space="preserve">PAGEREF _Toc233573706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535616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"_Toc233573707" </w:instrText>
      </w:r>
      <w:r>
        <w:fldChar w:fldCharType="separate"/>
      </w:r>
      <w:r>
        <w:rPr>
          <w:rStyle w:val="33"/>
        </w:rPr>
        <w:t>2  规范性引用文件</w:t>
      </w:r>
      <w:r>
        <w:rPr>
          <w:rFonts w:hint="eastAsia"/>
        </w:rPr>
        <w:tab/>
      </w:r>
      <w:r>
        <w:rPr>
          <w:rFonts w:hint="eastAsia"/>
        </w:rPr>
        <w:fldChar w:fldCharType="begin"/>
      </w:r>
      <w:r>
        <w:rPr>
          <w:rFonts w:hint="eastAsia"/>
        </w:rPr>
        <w:instrText xml:space="preserve"> </w:instrText>
      </w:r>
      <w:r>
        <w:instrText xml:space="preserve">PAGEREF _Toc233573707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BE70E6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"_Toc233573708" </w:instrText>
      </w:r>
      <w:r>
        <w:fldChar w:fldCharType="separate"/>
      </w:r>
      <w:r>
        <w:rPr>
          <w:rStyle w:val="33"/>
        </w:rPr>
        <w:t>3  术语和定义</w:t>
      </w:r>
      <w:r>
        <w:rPr>
          <w:rFonts w:hint="eastAsia"/>
        </w:rPr>
        <w:tab/>
      </w:r>
      <w:r>
        <w:rPr>
          <w:rFonts w:hint="eastAsia"/>
        </w:rPr>
        <w:fldChar w:fldCharType="begin"/>
      </w:r>
      <w:r>
        <w:rPr>
          <w:rFonts w:hint="eastAsia"/>
        </w:rPr>
        <w:instrText xml:space="preserve"> </w:instrText>
      </w:r>
      <w:r>
        <w:instrText xml:space="preserve">PAGEREF _Toc233573708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A2058A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"_Toc233573709" </w:instrText>
      </w:r>
      <w:r>
        <w:fldChar w:fldCharType="separate"/>
      </w:r>
      <w:r>
        <w:rPr>
          <w:rStyle w:val="33"/>
        </w:rPr>
        <w:t>4  环境和设施设备管理</w:t>
      </w:r>
      <w:r>
        <w:rPr>
          <w:rFonts w:hint="eastAsia"/>
        </w:rPr>
        <w:tab/>
      </w:r>
      <w:r>
        <w:rPr>
          <w:rFonts w:hint="eastAsia"/>
        </w:rPr>
        <w:fldChar w:fldCharType="begin"/>
      </w:r>
      <w:r>
        <w:rPr>
          <w:rFonts w:hint="eastAsia"/>
        </w:rPr>
        <w:instrText xml:space="preserve"> </w:instrText>
      </w:r>
      <w:r>
        <w:instrText xml:space="preserve">PAGEREF _Toc233573709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5F64408">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"_Toc233573710" </w:instrText>
      </w:r>
      <w:r>
        <w:fldChar w:fldCharType="separate"/>
      </w:r>
      <w:r>
        <w:rPr>
          <w:rStyle w:val="33"/>
        </w:rPr>
        <w:t>4.1  病区管理</w:t>
      </w:r>
      <w:r>
        <w:rPr>
          <w:rFonts w:hint="eastAsia"/>
        </w:rPr>
        <w:tab/>
      </w:r>
      <w:r>
        <w:rPr>
          <w:rFonts w:hint="eastAsia"/>
        </w:rPr>
        <w:fldChar w:fldCharType="begin"/>
      </w:r>
      <w:r>
        <w:rPr>
          <w:rFonts w:hint="eastAsia"/>
        </w:rPr>
        <w:instrText xml:space="preserve"> </w:instrText>
      </w:r>
      <w:r>
        <w:instrText xml:space="preserve">PAGEREF _Toc233573710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39CAB5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"_Toc233573711" </w:instrText>
      </w:r>
      <w:r>
        <w:fldChar w:fldCharType="separate"/>
      </w:r>
      <w:r>
        <w:rPr>
          <w:rStyle w:val="33"/>
        </w:rPr>
        <w:t>4.2  病房管理</w:t>
      </w:r>
      <w:r>
        <w:rPr>
          <w:rFonts w:hint="eastAsia"/>
        </w:rPr>
        <w:tab/>
      </w:r>
      <w:r>
        <w:rPr>
          <w:rFonts w:hint="eastAsia"/>
        </w:rPr>
        <w:fldChar w:fldCharType="begin"/>
      </w:r>
      <w:r>
        <w:rPr>
          <w:rFonts w:hint="eastAsia"/>
        </w:rPr>
        <w:instrText xml:space="preserve"> </w:instrText>
      </w:r>
      <w:r>
        <w:instrText xml:space="preserve">PAGEREF _Toc233573711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C65160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"_Toc233573712" </w:instrText>
      </w:r>
      <w:r>
        <w:fldChar w:fldCharType="separate"/>
      </w:r>
      <w:r>
        <w:rPr>
          <w:rStyle w:val="33"/>
        </w:rPr>
        <w:t>4.3  设施设备管理</w:t>
      </w:r>
      <w:r>
        <w:rPr>
          <w:rFonts w:hint="eastAsia"/>
        </w:rPr>
        <w:tab/>
      </w:r>
      <w:r>
        <w:rPr>
          <w:rFonts w:hint="eastAsia"/>
        </w:rPr>
        <w:fldChar w:fldCharType="begin"/>
      </w:r>
      <w:r>
        <w:rPr>
          <w:rFonts w:hint="eastAsia"/>
        </w:rPr>
        <w:instrText xml:space="preserve"> </w:instrText>
      </w:r>
      <w:r>
        <w:instrText xml:space="preserve">PAGEREF _Toc233573712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D0B991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"_Toc233573713" </w:instrText>
      </w:r>
      <w:r>
        <w:fldChar w:fldCharType="separate"/>
      </w:r>
      <w:r>
        <w:rPr>
          <w:rStyle w:val="33"/>
        </w:rPr>
        <w:t>5  人员管理</w:t>
      </w:r>
      <w:r>
        <w:rPr>
          <w:rFonts w:hint="eastAsia"/>
        </w:rPr>
        <w:tab/>
      </w:r>
      <w:r>
        <w:rPr>
          <w:rFonts w:hint="eastAsia"/>
        </w:rPr>
        <w:fldChar w:fldCharType="begin"/>
      </w:r>
      <w:r>
        <w:rPr>
          <w:rFonts w:hint="eastAsia"/>
        </w:rPr>
        <w:instrText xml:space="preserve"> </w:instrText>
      </w:r>
      <w:r>
        <w:instrText xml:space="preserve">PAGEREF _Toc233573713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0FD9D6A">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"_Toc233573714" </w:instrText>
      </w:r>
      <w:r>
        <w:fldChar w:fldCharType="separate"/>
      </w:r>
      <w:r>
        <w:rPr>
          <w:rStyle w:val="33"/>
        </w:rPr>
        <w:t>5.1  人员配置</w:t>
      </w:r>
      <w:r>
        <w:rPr>
          <w:rFonts w:hint="eastAsia"/>
        </w:rPr>
        <w:tab/>
      </w:r>
      <w:r>
        <w:rPr>
          <w:rFonts w:hint="eastAsia"/>
        </w:rPr>
        <w:fldChar w:fldCharType="begin"/>
      </w:r>
      <w:r>
        <w:rPr>
          <w:rFonts w:hint="eastAsia"/>
        </w:rPr>
        <w:instrText xml:space="preserve"> </w:instrText>
      </w:r>
      <w:r>
        <w:instrText xml:space="preserve">PAGEREF _Toc233573714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C8CC80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"_Toc233573715" </w:instrText>
      </w:r>
      <w:r>
        <w:fldChar w:fldCharType="separate"/>
      </w:r>
      <w:r>
        <w:rPr>
          <w:rStyle w:val="33"/>
        </w:rPr>
        <w:t>5.2  人员培训</w:t>
      </w:r>
      <w:r>
        <w:rPr>
          <w:rFonts w:hint="eastAsia"/>
        </w:rPr>
        <w:tab/>
      </w:r>
      <w:r>
        <w:rPr>
          <w:rFonts w:hint="eastAsia"/>
        </w:rPr>
        <w:fldChar w:fldCharType="begin"/>
      </w:r>
      <w:r>
        <w:rPr>
          <w:rFonts w:hint="eastAsia"/>
        </w:rPr>
        <w:instrText xml:space="preserve"> </w:instrText>
      </w:r>
      <w:r>
        <w:instrText xml:space="preserve">PAGEREF _Toc233573715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FE3345A">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"_Toc233573716" </w:instrText>
      </w:r>
      <w:r>
        <w:fldChar w:fldCharType="separate"/>
      </w:r>
      <w:r>
        <w:rPr>
          <w:rStyle w:val="33"/>
        </w:rPr>
        <w:t>5.3  工作职责</w:t>
      </w:r>
      <w:r>
        <w:rPr>
          <w:rFonts w:hint="eastAsia"/>
        </w:rPr>
        <w:tab/>
      </w:r>
      <w:r>
        <w:rPr>
          <w:rFonts w:hint="eastAsia"/>
        </w:rPr>
        <w:fldChar w:fldCharType="begin"/>
      </w:r>
      <w:r>
        <w:rPr>
          <w:rFonts w:hint="eastAsia"/>
        </w:rPr>
        <w:instrText xml:space="preserve"> </w:instrText>
      </w:r>
      <w:r>
        <w:instrText xml:space="preserve">PAGEREF _Toc233573716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A5C18D0">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"_Toc233573717" </w:instrText>
      </w:r>
      <w:r>
        <w:fldChar w:fldCharType="separate"/>
      </w:r>
      <w:r>
        <w:rPr>
          <w:rStyle w:val="33"/>
        </w:rPr>
        <w:t>6  入院管理</w:t>
      </w:r>
      <w:r>
        <w:rPr>
          <w:rFonts w:hint="eastAsia"/>
        </w:rPr>
        <w:tab/>
      </w:r>
      <w:r>
        <w:rPr>
          <w:rFonts w:hint="eastAsia"/>
        </w:rPr>
        <w:fldChar w:fldCharType="begin"/>
      </w:r>
      <w:r>
        <w:rPr>
          <w:rFonts w:hint="eastAsia"/>
        </w:rPr>
        <w:instrText xml:space="preserve"> </w:instrText>
      </w:r>
      <w:r>
        <w:instrText xml:space="preserve">PAGEREF _Toc233573717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A30E5A3">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"_Toc233573718" </w:instrText>
      </w:r>
      <w:r>
        <w:fldChar w:fldCharType="separate"/>
      </w:r>
      <w:r>
        <w:rPr>
          <w:rStyle w:val="33"/>
        </w:rPr>
        <w:t>6.1  入院评估</w:t>
      </w:r>
      <w:r>
        <w:rPr>
          <w:rFonts w:hint="eastAsia"/>
        </w:rPr>
        <w:tab/>
      </w:r>
      <w:r>
        <w:rPr>
          <w:rFonts w:hint="eastAsia"/>
        </w:rPr>
        <w:fldChar w:fldCharType="begin"/>
      </w:r>
      <w:r>
        <w:rPr>
          <w:rFonts w:hint="eastAsia"/>
        </w:rPr>
        <w:instrText xml:space="preserve"> </w:instrText>
      </w:r>
      <w:r>
        <w:instrText xml:space="preserve">PAGEREF _Toc233573718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0E684A4">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"_Toc233573719" </w:instrText>
      </w:r>
      <w:r>
        <w:fldChar w:fldCharType="separate"/>
      </w:r>
      <w:r>
        <w:rPr>
          <w:rStyle w:val="33"/>
        </w:rPr>
        <w:t>6.2  入院要求</w:t>
      </w:r>
      <w:r>
        <w:rPr>
          <w:rFonts w:hint="eastAsia"/>
        </w:rPr>
        <w:tab/>
      </w:r>
      <w:r>
        <w:rPr>
          <w:rFonts w:hint="eastAsia"/>
        </w:rPr>
        <w:fldChar w:fldCharType="begin"/>
      </w:r>
      <w:r>
        <w:rPr>
          <w:rFonts w:hint="eastAsia"/>
        </w:rPr>
        <w:instrText xml:space="preserve"> </w:instrText>
      </w:r>
      <w:r>
        <w:instrText xml:space="preserve">PAGEREF _Toc233573719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67B6D08">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"_Toc233573720" </w:instrText>
      </w:r>
      <w:r>
        <w:fldChar w:fldCharType="separate"/>
      </w:r>
      <w:r>
        <w:rPr>
          <w:rStyle w:val="33"/>
        </w:rPr>
        <w:t>6.3  入院检查</w:t>
      </w:r>
      <w:r>
        <w:rPr>
          <w:rFonts w:hint="eastAsia"/>
        </w:rPr>
        <w:tab/>
      </w:r>
      <w:r>
        <w:rPr>
          <w:rFonts w:hint="eastAsia"/>
        </w:rPr>
        <w:fldChar w:fldCharType="begin"/>
      </w:r>
      <w:r>
        <w:rPr>
          <w:rFonts w:hint="eastAsia"/>
        </w:rPr>
        <w:instrText xml:space="preserve"> </w:instrText>
      </w:r>
      <w:r>
        <w:instrText xml:space="preserve">PAGEREF _Toc233573720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812A3A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"_Toc233573721" </w:instrText>
      </w:r>
      <w:r>
        <w:fldChar w:fldCharType="separate"/>
      </w:r>
      <w:r>
        <w:rPr>
          <w:rStyle w:val="33"/>
        </w:rPr>
        <w:t>6.4  入院宣教</w:t>
      </w:r>
      <w:r>
        <w:rPr>
          <w:rFonts w:hint="eastAsia"/>
        </w:rPr>
        <w:tab/>
      </w:r>
      <w:r>
        <w:rPr>
          <w:rFonts w:hint="eastAsia"/>
        </w:rPr>
        <w:fldChar w:fldCharType="begin"/>
      </w:r>
      <w:r>
        <w:rPr>
          <w:rFonts w:hint="eastAsia"/>
        </w:rPr>
        <w:instrText xml:space="preserve"> </w:instrText>
      </w:r>
      <w:r>
        <w:instrText xml:space="preserve">PAGEREF _Toc233573721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E1CE5AE">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"_Toc233573722" </w:instrText>
      </w:r>
      <w:r>
        <w:fldChar w:fldCharType="separate"/>
      </w:r>
      <w:r>
        <w:rPr>
          <w:rStyle w:val="33"/>
        </w:rPr>
        <w:t>6.5  床位安排</w:t>
      </w:r>
      <w:r>
        <w:rPr>
          <w:rFonts w:hint="eastAsia"/>
        </w:rPr>
        <w:tab/>
      </w:r>
      <w:r>
        <w:rPr>
          <w:rFonts w:hint="eastAsia"/>
        </w:rPr>
        <w:fldChar w:fldCharType="begin"/>
      </w:r>
      <w:r>
        <w:rPr>
          <w:rFonts w:hint="eastAsia"/>
        </w:rPr>
        <w:instrText xml:space="preserve"> </w:instrText>
      </w:r>
      <w:r>
        <w:instrText xml:space="preserve">PAGEREF _Toc233573722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5A41DE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"_Toc233573723" </w:instrText>
      </w:r>
      <w:r>
        <w:fldChar w:fldCharType="separate"/>
      </w:r>
      <w:r>
        <w:rPr>
          <w:rStyle w:val="33"/>
        </w:rPr>
        <w:t>7  住院管理</w:t>
      </w:r>
      <w:r>
        <w:rPr>
          <w:rFonts w:hint="eastAsia"/>
        </w:rPr>
        <w:tab/>
      </w:r>
      <w:r>
        <w:rPr>
          <w:rFonts w:hint="eastAsia"/>
        </w:rPr>
        <w:fldChar w:fldCharType="begin"/>
      </w:r>
      <w:r>
        <w:rPr>
          <w:rFonts w:hint="eastAsia"/>
        </w:rPr>
        <w:instrText xml:space="preserve"> </w:instrText>
      </w:r>
      <w:r>
        <w:instrText xml:space="preserve">PAGEREF _Toc233573723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41BEAA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"_Toc233573724" </w:instrText>
      </w:r>
      <w:r>
        <w:fldChar w:fldCharType="separate"/>
      </w:r>
      <w:r>
        <w:rPr>
          <w:rStyle w:val="33"/>
        </w:rPr>
        <w:t>7.1  治疗与护理</w:t>
      </w:r>
      <w:r>
        <w:rPr>
          <w:rFonts w:hint="eastAsia"/>
        </w:rPr>
        <w:tab/>
      </w:r>
      <w:r>
        <w:rPr>
          <w:rFonts w:hint="eastAsia"/>
        </w:rPr>
        <w:fldChar w:fldCharType="begin"/>
      </w:r>
      <w:r>
        <w:rPr>
          <w:rFonts w:hint="eastAsia"/>
        </w:rPr>
        <w:instrText xml:space="preserve"> </w:instrText>
      </w:r>
      <w:r>
        <w:instrText xml:space="preserve">PAGEREF _Toc233573724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E05EA4D">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"_Toc233573725" </w:instrText>
      </w:r>
      <w:r>
        <w:fldChar w:fldCharType="separate"/>
      </w:r>
      <w:r>
        <w:rPr>
          <w:rStyle w:val="33"/>
        </w:rPr>
        <w:t>7.2  陪护与探视</w:t>
      </w:r>
      <w:r>
        <w:rPr>
          <w:rFonts w:hint="eastAsia"/>
        </w:rPr>
        <w:tab/>
      </w:r>
      <w:r>
        <w:rPr>
          <w:rFonts w:hint="eastAsia"/>
        </w:rPr>
        <w:fldChar w:fldCharType="begin"/>
      </w:r>
      <w:r>
        <w:rPr>
          <w:rFonts w:hint="eastAsia"/>
        </w:rPr>
        <w:instrText xml:space="preserve"> </w:instrText>
      </w:r>
      <w:r>
        <w:instrText xml:space="preserve">PAGEREF _Toc233573725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3FA5973">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"_Toc233573726" </w:instrText>
      </w:r>
      <w:r>
        <w:fldChar w:fldCharType="separate"/>
      </w:r>
      <w:r>
        <w:rPr>
          <w:rStyle w:val="33"/>
        </w:rPr>
        <w:t>7.3  外出与返院</w:t>
      </w:r>
      <w:r>
        <w:rPr>
          <w:rFonts w:hint="eastAsia"/>
        </w:rPr>
        <w:tab/>
      </w:r>
      <w:r>
        <w:rPr>
          <w:rFonts w:hint="eastAsia"/>
        </w:rPr>
        <w:fldChar w:fldCharType="begin"/>
      </w:r>
      <w:r>
        <w:rPr>
          <w:rFonts w:hint="eastAsia"/>
        </w:rPr>
        <w:instrText xml:space="preserve"> </w:instrText>
      </w:r>
      <w:r>
        <w:instrText xml:space="preserve">PAGEREF _Toc233573726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6466393">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"_Toc233573727" </w:instrText>
      </w:r>
      <w:r>
        <w:fldChar w:fldCharType="separate"/>
      </w:r>
      <w:r>
        <w:rPr>
          <w:rStyle w:val="33"/>
        </w:rPr>
        <w:t>7.4  转科、转诊或出院</w:t>
      </w:r>
      <w:r>
        <w:rPr>
          <w:rFonts w:hint="eastAsia"/>
        </w:rPr>
        <w:tab/>
      </w:r>
      <w:r>
        <w:rPr>
          <w:rFonts w:hint="eastAsia"/>
        </w:rPr>
        <w:fldChar w:fldCharType="begin"/>
      </w:r>
      <w:r>
        <w:rPr>
          <w:rFonts w:hint="eastAsia"/>
        </w:rPr>
        <w:instrText xml:space="preserve"> </w:instrText>
      </w:r>
      <w:r>
        <w:instrText xml:space="preserve">PAGEREF _Toc233573727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566CD3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"_Toc233573728" </w:instrText>
      </w:r>
      <w:r>
        <w:fldChar w:fldCharType="separate"/>
      </w:r>
      <w:r>
        <w:rPr>
          <w:rStyle w:val="33"/>
        </w:rPr>
        <w:t>8  安全管理</w:t>
      </w:r>
      <w:r>
        <w:rPr>
          <w:rFonts w:hint="eastAsia"/>
        </w:rPr>
        <w:tab/>
      </w:r>
      <w:r>
        <w:rPr>
          <w:rFonts w:hint="eastAsia"/>
        </w:rPr>
        <w:fldChar w:fldCharType="begin"/>
      </w:r>
      <w:r>
        <w:rPr>
          <w:rFonts w:hint="eastAsia"/>
        </w:rPr>
        <w:instrText xml:space="preserve"> </w:instrText>
      </w:r>
      <w:r>
        <w:instrText xml:space="preserve">PAGEREF _Toc233573728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3DC073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"_Toc233573729" </w:instrText>
      </w:r>
      <w:r>
        <w:fldChar w:fldCharType="separate"/>
      </w:r>
      <w:r>
        <w:rPr>
          <w:rStyle w:val="33"/>
        </w:rPr>
        <w:t>8.1  安全检查</w:t>
      </w:r>
      <w:r>
        <w:rPr>
          <w:rFonts w:hint="eastAsia"/>
        </w:rPr>
        <w:tab/>
      </w:r>
      <w:r>
        <w:rPr>
          <w:rFonts w:hint="eastAsia"/>
        </w:rPr>
        <w:fldChar w:fldCharType="begin"/>
      </w:r>
      <w:r>
        <w:rPr>
          <w:rFonts w:hint="eastAsia"/>
        </w:rPr>
        <w:instrText xml:space="preserve"> </w:instrText>
      </w:r>
      <w:r>
        <w:instrText xml:space="preserve">PAGEREF _Toc233573729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B0D4DA0">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"_Toc233573730" </w:instrText>
      </w:r>
      <w:r>
        <w:fldChar w:fldCharType="separate"/>
      </w:r>
      <w:r>
        <w:rPr>
          <w:rStyle w:val="33"/>
        </w:rPr>
        <w:t>8.2  物品管理</w:t>
      </w:r>
      <w:r>
        <w:rPr>
          <w:rFonts w:hint="eastAsia"/>
        </w:rPr>
        <w:tab/>
      </w:r>
      <w:r>
        <w:rPr>
          <w:rFonts w:hint="eastAsia"/>
        </w:rPr>
        <w:fldChar w:fldCharType="begin"/>
      </w:r>
      <w:r>
        <w:rPr>
          <w:rFonts w:hint="eastAsia"/>
        </w:rPr>
        <w:instrText xml:space="preserve"> </w:instrText>
      </w:r>
      <w:r>
        <w:instrText xml:space="preserve">PAGEREF _Toc233573730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867D70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"_Toc233573731" </w:instrText>
      </w:r>
      <w:r>
        <w:fldChar w:fldCharType="separate"/>
      </w:r>
      <w:r>
        <w:rPr>
          <w:rStyle w:val="33"/>
        </w:rPr>
        <w:t>8.3  感染防控</w:t>
      </w:r>
      <w:r>
        <w:rPr>
          <w:rFonts w:hint="eastAsia"/>
        </w:rPr>
        <w:tab/>
      </w:r>
      <w:r>
        <w:rPr>
          <w:rFonts w:hint="eastAsia"/>
        </w:rPr>
        <w:fldChar w:fldCharType="begin"/>
      </w:r>
      <w:r>
        <w:rPr>
          <w:rFonts w:hint="eastAsia"/>
        </w:rPr>
        <w:instrText xml:space="preserve"> </w:instrText>
      </w:r>
      <w:r>
        <w:instrText xml:space="preserve">PAGEREF _Toc233573731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2B02013">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"_Toc233573732" </w:instrText>
      </w:r>
      <w:r>
        <w:fldChar w:fldCharType="separate"/>
      </w:r>
      <w:r>
        <w:rPr>
          <w:rStyle w:val="33"/>
        </w:rPr>
        <w:t>8.4  应急处置</w:t>
      </w:r>
      <w:r>
        <w:rPr>
          <w:rFonts w:hint="eastAsia"/>
        </w:rPr>
        <w:tab/>
      </w:r>
      <w:r>
        <w:rPr>
          <w:rFonts w:hint="eastAsia"/>
        </w:rPr>
        <w:fldChar w:fldCharType="begin"/>
      </w:r>
      <w:r>
        <w:rPr>
          <w:rFonts w:hint="eastAsia"/>
        </w:rPr>
        <w:instrText xml:space="preserve"> </w:instrText>
      </w:r>
      <w:r>
        <w:instrText xml:space="preserve">PAGEREF _Toc233573732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9CB4328">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"_Toc233573733" </w:instrText>
      </w:r>
      <w:r>
        <w:fldChar w:fldCharType="separate"/>
      </w:r>
      <w:r>
        <w:rPr>
          <w:rStyle w:val="33"/>
        </w:rPr>
        <w:t>9  质量评价与改进</w:t>
      </w:r>
      <w:r>
        <w:rPr>
          <w:rFonts w:hint="eastAsia"/>
        </w:rPr>
        <w:tab/>
      </w:r>
      <w:r>
        <w:rPr>
          <w:rFonts w:hint="eastAsia"/>
        </w:rPr>
        <w:fldChar w:fldCharType="begin"/>
      </w:r>
      <w:r>
        <w:rPr>
          <w:rFonts w:hint="eastAsia"/>
        </w:rPr>
        <w:instrText xml:space="preserve"> </w:instrText>
      </w:r>
      <w:r>
        <w:instrText xml:space="preserve">PAGEREF _Toc233573733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5DC2F98">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"_Toc233573734" </w:instrText>
      </w:r>
      <w:r>
        <w:fldChar w:fldCharType="separate"/>
      </w:r>
      <w:r>
        <w:rPr>
          <w:rStyle w:val="33"/>
        </w:rPr>
        <w:t>附录A（资料性）  护士用自杀风险评估量表（NGASR）</w:t>
      </w:r>
      <w:r>
        <w:rPr>
          <w:rFonts w:hint="eastAsia"/>
        </w:rPr>
        <w:tab/>
      </w:r>
      <w:r>
        <w:rPr>
          <w:rFonts w:hint="eastAsia"/>
        </w:rPr>
        <w:fldChar w:fldCharType="begin"/>
      </w:r>
      <w:r>
        <w:rPr>
          <w:rFonts w:hint="eastAsia"/>
        </w:rPr>
        <w:instrText xml:space="preserve"> </w:instrText>
      </w:r>
      <w:r>
        <w:instrText xml:space="preserve">PAGEREF _Toc233573734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B1AC0CC">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"_Toc233573735" </w:instrText>
      </w:r>
      <w:r>
        <w:fldChar w:fldCharType="separate"/>
      </w:r>
      <w:r>
        <w:rPr>
          <w:rStyle w:val="33"/>
        </w:rPr>
        <w:t>附录B（资料性）  布罗塞特攻击行为量表（BVC）</w:t>
      </w:r>
      <w:r>
        <w:rPr>
          <w:rFonts w:hint="eastAsia"/>
        </w:rPr>
        <w:tab/>
      </w:r>
      <w:r>
        <w:rPr>
          <w:rFonts w:hint="eastAsia"/>
        </w:rPr>
        <w:fldChar w:fldCharType="begin"/>
      </w:r>
      <w:r>
        <w:rPr>
          <w:rFonts w:hint="eastAsia"/>
        </w:rPr>
        <w:instrText xml:space="preserve"> </w:instrText>
      </w:r>
      <w:r>
        <w:instrText xml:space="preserve">PAGEREF _Toc233573735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5C631F22">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"_Toc233573736" </w:instrText>
      </w:r>
      <w:r>
        <w:fldChar w:fldCharType="separate"/>
      </w:r>
      <w:r>
        <w:rPr>
          <w:rStyle w:val="33"/>
        </w:rPr>
        <w:t>附录C（资料性）  擅自离院因素筛查表</w:t>
      </w:r>
      <w:r>
        <w:rPr>
          <w:rFonts w:hint="eastAsia"/>
        </w:rPr>
        <w:tab/>
      </w:r>
      <w:r>
        <w:rPr>
          <w:rFonts w:hint="eastAsia"/>
        </w:rPr>
        <w:fldChar w:fldCharType="begin"/>
      </w:r>
      <w:r>
        <w:rPr>
          <w:rFonts w:hint="eastAsia"/>
        </w:rPr>
        <w:instrText xml:space="preserve"> </w:instrText>
      </w:r>
      <w:r>
        <w:instrText xml:space="preserve">PAGEREF _Toc233573736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1AE5110">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"_Toc233573737" </w:instrText>
      </w:r>
      <w:r>
        <w:fldChar w:fldCharType="separate"/>
      </w:r>
      <w:r>
        <w:rPr>
          <w:rStyle w:val="33"/>
        </w:rPr>
        <w:t>附录D（资料性）  住院（陪护）告知书</w:t>
      </w:r>
      <w:r>
        <w:rPr>
          <w:rFonts w:hint="eastAsia"/>
        </w:rPr>
        <w:tab/>
      </w:r>
      <w:r>
        <w:rPr>
          <w:rFonts w:hint="eastAsia"/>
        </w:rPr>
        <w:fldChar w:fldCharType="begin"/>
      </w:r>
      <w:r>
        <w:rPr>
          <w:rFonts w:hint="eastAsia"/>
        </w:rPr>
        <w:instrText xml:space="preserve"> </w:instrText>
      </w:r>
      <w:r>
        <w:instrText xml:space="preserve">PAGEREF _Toc233573737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7768BA5C">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"_Toc233573738" </w:instrText>
      </w:r>
      <w:r>
        <w:fldChar w:fldCharType="separate"/>
      </w:r>
      <w:r>
        <w:rPr>
          <w:rStyle w:val="33"/>
        </w:rPr>
        <w:t>附录E（资料性）  危险物品告知书</w:t>
      </w:r>
      <w:r>
        <w:rPr>
          <w:rFonts w:hint="eastAsia"/>
        </w:rPr>
        <w:tab/>
      </w:r>
      <w:r>
        <w:rPr>
          <w:rFonts w:hint="eastAsia"/>
        </w:rPr>
        <w:fldChar w:fldCharType="begin"/>
      </w:r>
      <w:r>
        <w:rPr>
          <w:rFonts w:hint="eastAsia"/>
        </w:rPr>
        <w:instrText xml:space="preserve"> </w:instrText>
      </w:r>
      <w:r>
        <w:instrText xml:space="preserve">PAGEREF _Toc233573738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07C25CAD">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"_Toc233573739" </w:instrText>
      </w:r>
      <w:r>
        <w:fldChar w:fldCharType="separate"/>
      </w:r>
      <w:r>
        <w:rPr>
          <w:rStyle w:val="33"/>
        </w:rPr>
        <w:t>附录F（资料性）  患者外出活动告知书</w:t>
      </w:r>
      <w:r>
        <w:rPr>
          <w:rFonts w:hint="eastAsia"/>
        </w:rPr>
        <w:tab/>
      </w:r>
      <w:r>
        <w:rPr>
          <w:rFonts w:hint="eastAsia"/>
        </w:rPr>
        <w:fldChar w:fldCharType="begin"/>
      </w:r>
      <w:r>
        <w:rPr>
          <w:rFonts w:hint="eastAsia"/>
        </w:rPr>
        <w:instrText xml:space="preserve"> </w:instrText>
      </w:r>
      <w:r>
        <w:instrText xml:space="preserve">PAGEREF _Toc233573739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466A1910">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"_Toc233573740" </w:instrText>
      </w:r>
      <w:r>
        <w:fldChar w:fldCharType="separate"/>
      </w:r>
      <w:r>
        <w:rPr>
          <w:rStyle w:val="33"/>
        </w:rPr>
        <w:t>附录G（资料性）  开放式病房人员外出登记表</w:t>
      </w:r>
      <w:r>
        <w:rPr>
          <w:rFonts w:hint="eastAsia"/>
        </w:rPr>
        <w:tab/>
      </w:r>
      <w:r>
        <w:rPr>
          <w:rFonts w:hint="eastAsia"/>
        </w:rPr>
        <w:fldChar w:fldCharType="begin"/>
      </w:r>
      <w:r>
        <w:rPr>
          <w:rFonts w:hint="eastAsia"/>
        </w:rPr>
        <w:instrText xml:space="preserve"> </w:instrText>
      </w:r>
      <w:r>
        <w:instrText xml:space="preserve">PAGEREF _Toc233573740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6F5047D6">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"_Toc233573741" </w:instrText>
      </w:r>
      <w:r>
        <w:fldChar w:fldCharType="separate"/>
      </w:r>
      <w:r>
        <w:rPr>
          <w:rStyle w:val="33"/>
        </w:rPr>
        <w:t>参考文献</w:t>
      </w:r>
      <w:r>
        <w:rPr>
          <w:rFonts w:hint="eastAsia"/>
        </w:rPr>
        <w:tab/>
      </w:r>
      <w:r>
        <w:rPr>
          <w:rFonts w:hint="eastAsia"/>
        </w:rPr>
        <w:fldChar w:fldCharType="begin"/>
      </w:r>
      <w:r>
        <w:rPr>
          <w:rFonts w:hint="eastAsia"/>
        </w:rPr>
        <w:instrText xml:space="preserve"> </w:instrText>
      </w:r>
      <w:r>
        <w:instrText xml:space="preserve">PAGEREF _Toc233573741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72029041">
      <w:pPr>
        <w:pStyle w:val="92"/>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11CCD093">
      <w:pPr>
        <w:pStyle w:val="90"/>
        <w:spacing w:after="360"/>
      </w:pPr>
      <w:bookmarkStart w:id="26" w:name="_Toc233573705"/>
      <w:bookmarkStart w:id="27" w:name="BookMark2"/>
      <w:r>
        <w:rPr>
          <w:spacing w:val="320"/>
        </w:rPr>
        <w:t>前</w:t>
      </w:r>
      <w:r>
        <w:t>言</w:t>
      </w:r>
      <w:bookmarkEnd w:id="22"/>
      <w:bookmarkEnd w:id="23"/>
      <w:bookmarkEnd w:id="24"/>
      <w:bookmarkEnd w:id="25"/>
      <w:bookmarkEnd w:id="26"/>
    </w:p>
    <w:p w14:paraId="796A43D5">
      <w:pPr>
        <w:pStyle w:val="57"/>
        <w:ind w:firstLine="420"/>
      </w:pPr>
      <w:r>
        <w:rPr>
          <w:rFonts w:hint="eastAsia"/>
        </w:rPr>
        <w:t>本文件参照GB/T 1.1—2020《标准化工作导则  第1部分：标准化文件的结构和起草规则》的规定起草。</w:t>
      </w:r>
    </w:p>
    <w:p w14:paraId="7CB93790">
      <w:pPr>
        <w:pStyle w:val="57"/>
        <w:ind w:firstLine="420"/>
      </w:pPr>
      <w:r>
        <w:rPr>
          <w:rFonts w:hint="eastAsia"/>
        </w:rPr>
        <w:t>请注意本文件的某些内容可能涉及专利。本文件的发布机构不承担识别专利的责任。</w:t>
      </w:r>
    </w:p>
    <w:p w14:paraId="689592CF">
      <w:pPr>
        <w:pStyle w:val="57"/>
        <w:ind w:firstLine="420"/>
      </w:pPr>
      <w:r>
        <w:rPr>
          <w:rFonts w:hint="eastAsia"/>
        </w:rPr>
        <w:t>本文件由广西护理协会提出、归口并宣贯。</w:t>
      </w:r>
    </w:p>
    <w:p w14:paraId="4D2E0702">
      <w:pPr>
        <w:pStyle w:val="57"/>
        <w:ind w:firstLine="420"/>
      </w:pPr>
      <w:r>
        <w:rPr>
          <w:rFonts w:hint="eastAsia"/>
        </w:rPr>
        <w:t>本文件起草单位：广西壮族自治区脑科医院、北京大学第六医院、南京脑科医院、安徽省精神卫生防治中心、广州医科大学附属脑科医院、广西医科大学第二附属医院、重庆市精神卫生中心、内蒙古自治区精神卫生中心(内蒙古自治区第三医院、内蒙古自治区脑科医院)、玉林市荣军优抚医院、南宁市第一人民医院、梧州市第二人民医院、百色市第二人民医院、龙岩市第三医院。</w:t>
      </w:r>
    </w:p>
    <w:p w14:paraId="79CFC292">
      <w:pPr>
        <w:pStyle w:val="57"/>
        <w:ind w:firstLine="420"/>
      </w:pPr>
      <w:r>
        <w:rPr>
          <w:rFonts w:hint="eastAsia"/>
        </w:rPr>
        <w:t>本文件主要起草人：陈美贵、覃凤琼、黄欣、邓金兰、覃正斌、管淑华、罗兰芳、覃海萍、叶凡佩、杨盼、韦为、王智。</w:t>
      </w:r>
    </w:p>
    <w:p w14:paraId="32685BFE">
      <w:pPr>
        <w:pStyle w:val="57"/>
        <w:ind w:firstLine="420"/>
      </w:pPr>
    </w:p>
    <w:p w14:paraId="689DE9FA">
      <w:pPr>
        <w:pStyle w:val="57"/>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27"/>
    <w:p w14:paraId="0D25F956">
      <w:pPr>
        <w:spacing w:line="20" w:lineRule="exact"/>
        <w:jc w:val="center"/>
        <w:rPr>
          <w:rFonts w:hint="eastAsia" w:ascii="黑体" w:hAnsi="黑体" w:eastAsia="黑体"/>
          <w:sz w:val="32"/>
          <w:szCs w:val="32"/>
        </w:rPr>
      </w:pPr>
      <w:bookmarkStart w:id="28" w:name="BookMark4"/>
    </w:p>
    <w:p w14:paraId="04DAFFBC">
      <w:pPr>
        <w:spacing w:line="20" w:lineRule="exact"/>
        <w:jc w:val="center"/>
        <w:rPr>
          <w:rFonts w:hint="eastAsia" w:ascii="黑体" w:hAnsi="黑体" w:eastAsia="黑体"/>
          <w:sz w:val="32"/>
          <w:szCs w:val="32"/>
        </w:rPr>
      </w:pPr>
    </w:p>
    <w:sdt>
      <w:sdtPr>
        <w:tag w:val="NEW_STAND_NAME"/>
        <w:id w:val="595910757"/>
        <w:lock w:val="sdtLocked"/>
        <w:placeholder>
          <w:docPart w:val="1502959BF3244B5587813501B04DB51E"/>
        </w:placeholder>
      </w:sdtPr>
      <w:sdtContent>
        <w:p w14:paraId="60917835">
          <w:pPr>
            <w:pStyle w:val="178"/>
            <w:spacing w:before="240" w:beforeLines="100" w:after="528" w:afterLines="220"/>
            <w:rPr>
              <w:rFonts w:hint="eastAsia"/>
            </w:rPr>
          </w:pPr>
          <w:bookmarkStart w:id="29" w:name="NEW_STAND_NAME"/>
          <w:r>
            <w:rPr>
              <w:rFonts w:hint="eastAsia"/>
            </w:rPr>
            <w:t>精神专科医院开放式病房管理规范</w:t>
          </w:r>
        </w:p>
      </w:sdtContent>
    </w:sdt>
    <w:bookmarkEnd w:id="29"/>
    <w:p w14:paraId="47BD69D6">
      <w:pPr>
        <w:pStyle w:val="105"/>
        <w:spacing w:before="240" w:after="240"/>
      </w:pPr>
      <w:bookmarkStart w:id="30" w:name="_Toc24884211"/>
      <w:bookmarkStart w:id="31" w:name="_Toc26986530"/>
      <w:bookmarkStart w:id="32" w:name="_Toc26986771"/>
      <w:bookmarkStart w:id="33" w:name="_Toc26718930"/>
      <w:bookmarkStart w:id="34" w:name="_Toc17233333"/>
      <w:bookmarkStart w:id="35" w:name="_Toc24884218"/>
      <w:bookmarkStart w:id="36" w:name="_Toc233558330"/>
      <w:bookmarkStart w:id="37" w:name="_Toc233573706"/>
      <w:bookmarkStart w:id="38" w:name="_Toc26648465"/>
      <w:bookmarkStart w:id="39" w:name="_Toc97192964"/>
      <w:bookmarkStart w:id="40" w:name="_Toc17233325"/>
      <w:bookmarkStart w:id="41" w:name="_Toc225874491"/>
      <w:bookmarkStart w:id="42" w:name="_Toc225873043"/>
      <w:bookmarkStart w:id="43" w:name="_Toc233381847"/>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89215C0">
      <w:pPr>
        <w:pStyle w:val="57"/>
        <w:ind w:firstLine="420"/>
      </w:pPr>
      <w:bookmarkStart w:id="44" w:name="_Toc24884212"/>
      <w:bookmarkStart w:id="45" w:name="_Toc24884219"/>
      <w:bookmarkStart w:id="46" w:name="_Toc17233326"/>
      <w:bookmarkStart w:id="47" w:name="_Toc17233334"/>
      <w:bookmarkStart w:id="48" w:name="_Toc26648466"/>
      <w:r>
        <w:rPr>
          <w:rFonts w:hint="eastAsia"/>
        </w:rPr>
        <w:t>本文件界定了精神专科医院开放式病房管理涉及</w:t>
      </w:r>
      <w:r>
        <w:t>的术语和定义，规定了</w:t>
      </w:r>
      <w:r>
        <w:rPr>
          <w:rFonts w:hint="eastAsia"/>
        </w:rPr>
        <w:t>环境</w:t>
      </w:r>
      <w:r>
        <w:rPr>
          <w:rFonts w:hint="eastAsia"/>
          <w:lang w:val="en-US" w:eastAsia="zh-CN"/>
        </w:rPr>
        <w:t>和设施设备</w:t>
      </w:r>
      <w:r>
        <w:rPr>
          <w:rFonts w:hint="eastAsia"/>
        </w:rPr>
        <w:t>管理、人员管理、</w:t>
      </w:r>
      <w:r>
        <w:rPr>
          <w:rFonts w:hint="eastAsia"/>
          <w:lang w:val="en-US" w:eastAsia="zh-CN"/>
        </w:rPr>
        <w:t>入院管理、</w:t>
      </w:r>
      <w:bookmarkStart w:id="199" w:name="_GoBack"/>
      <w:bookmarkEnd w:id="199"/>
      <w:r>
        <w:rPr>
          <w:rFonts w:hint="eastAsia"/>
          <w:lang w:val="en-US" w:eastAsia="zh-CN"/>
        </w:rPr>
        <w:t>住院</w:t>
      </w:r>
      <w:r>
        <w:rPr>
          <w:rFonts w:hint="eastAsia"/>
        </w:rPr>
        <w:t>管理、安全管理、质量评价与改进</w:t>
      </w:r>
      <w:r>
        <w:t>的要求。</w:t>
      </w:r>
    </w:p>
    <w:p w14:paraId="27594CE1">
      <w:pPr>
        <w:pStyle w:val="57"/>
        <w:ind w:firstLine="420"/>
      </w:pPr>
      <w:r>
        <w:rPr>
          <w:rFonts w:hint="eastAsia"/>
        </w:rPr>
        <w:t>本文件</w:t>
      </w:r>
      <w:r>
        <w:t>适用于</w:t>
      </w:r>
      <w:r>
        <w:rPr>
          <w:rFonts w:hint="eastAsia"/>
        </w:rPr>
        <w:t>精神专科医院的开放式病房管理，综合医院的精神疾病相关病房可参考使用。</w:t>
      </w:r>
    </w:p>
    <w:p w14:paraId="27E71D52">
      <w:pPr>
        <w:pStyle w:val="105"/>
        <w:spacing w:before="240" w:after="240"/>
      </w:pPr>
      <w:bookmarkStart w:id="49" w:name="_Toc225874492"/>
      <w:bookmarkStart w:id="50" w:name="_Toc97192965"/>
      <w:bookmarkStart w:id="51" w:name="_Toc233381848"/>
      <w:bookmarkStart w:id="52" w:name="_Toc26718931"/>
      <w:bookmarkStart w:id="53" w:name="_Toc233573707"/>
      <w:bookmarkStart w:id="54" w:name="_Toc225873044"/>
      <w:bookmarkStart w:id="55" w:name="_Toc26986531"/>
      <w:bookmarkStart w:id="56" w:name="_Toc26986772"/>
      <w:bookmarkStart w:id="57" w:name="_Toc233558331"/>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85C9480">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2B9D7CE">
      <w:pPr>
        <w:pStyle w:val="57"/>
        <w:ind w:firstLine="420"/>
      </w:pPr>
      <w:r>
        <w:rPr>
          <w:rFonts w:hint="eastAsia"/>
        </w:rPr>
        <w:t>WS/T 313  医务人员手卫生规范</w:t>
      </w:r>
    </w:p>
    <w:p w14:paraId="6E98C37D">
      <w:pPr>
        <w:pStyle w:val="57"/>
        <w:ind w:firstLine="420"/>
      </w:pPr>
      <w:r>
        <w:rPr>
          <w:rFonts w:hint="eastAsia"/>
        </w:rPr>
        <w:t>WS/T 367  医疗机构消毒技术规范</w:t>
      </w:r>
    </w:p>
    <w:p w14:paraId="75908173">
      <w:pPr>
        <w:pStyle w:val="57"/>
        <w:ind w:firstLine="420"/>
      </w:pPr>
      <w:r>
        <w:rPr>
          <w:rFonts w:hint="eastAsia"/>
        </w:rPr>
        <w:t>WS/T 510  病区医院感染管理规范</w:t>
      </w:r>
    </w:p>
    <w:p w14:paraId="43C32079">
      <w:pPr>
        <w:pStyle w:val="57"/>
        <w:ind w:firstLine="420"/>
      </w:pPr>
      <w:r>
        <w:rPr>
          <w:rFonts w:hint="eastAsia"/>
        </w:rPr>
        <w:t>T/GXAS 871  医疗机构医疗护理员管理规范</w:t>
      </w:r>
    </w:p>
    <w:p w14:paraId="2FC19A00">
      <w:pPr>
        <w:pStyle w:val="57"/>
        <w:ind w:firstLine="420"/>
      </w:pPr>
      <w:r>
        <w:t>T/GXAS 1263</w:t>
      </w:r>
      <w:r>
        <w:rPr>
          <w:rFonts w:hint="eastAsia"/>
        </w:rPr>
        <w:t xml:space="preserve">  </w:t>
      </w:r>
      <w:r>
        <w:t>住院精神障碍患者分级护理规范</w:t>
      </w:r>
    </w:p>
    <w:p w14:paraId="313DB5E3">
      <w:pPr>
        <w:pStyle w:val="105"/>
        <w:spacing w:before="240" w:after="240"/>
      </w:pPr>
      <w:bookmarkStart w:id="58" w:name="_Toc233573708"/>
      <w:bookmarkStart w:id="59" w:name="_Toc225874493"/>
      <w:bookmarkStart w:id="60" w:name="_Toc225873045"/>
      <w:bookmarkStart w:id="61" w:name="_Toc233558332"/>
      <w:bookmarkStart w:id="62" w:name="_Toc233381849"/>
      <w:bookmarkStart w:id="63" w:name="_Toc97192966"/>
      <w:r>
        <w:rPr>
          <w:rFonts w:hint="eastAsia"/>
          <w:szCs w:val="21"/>
        </w:rPr>
        <w:t>术语和定义</w:t>
      </w:r>
      <w:bookmarkEnd w:id="58"/>
      <w:bookmarkEnd w:id="59"/>
      <w:bookmarkEnd w:id="60"/>
      <w:bookmarkEnd w:id="61"/>
      <w:bookmarkEnd w:id="62"/>
      <w:bookmarkEnd w:id="63"/>
    </w:p>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7778EAC">
          <w:pPr>
            <w:pStyle w:val="57"/>
            <w:ind w:firstLine="420"/>
          </w:pPr>
          <w:bookmarkStart w:id="64" w:name="_Toc26986532"/>
          <w:bookmarkEnd w:id="64"/>
          <w:r>
            <w:t>WS/T 510界定的以及下列术语和定义适用于本文件。</w:t>
          </w:r>
        </w:p>
      </w:sdtContent>
    </w:sdt>
    <w:p w14:paraId="30A921B8">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开放式病房管理  </w:t>
      </w:r>
      <w:r>
        <w:rPr>
          <w:rFonts w:ascii="黑体" w:hAnsi="黑体" w:eastAsia="黑体"/>
        </w:rPr>
        <w:t>management of open-door ward</w:t>
      </w:r>
    </w:p>
    <w:p w14:paraId="637F6363">
      <w:pPr>
        <w:pStyle w:val="57"/>
        <w:ind w:firstLine="420"/>
      </w:pPr>
      <w:r>
        <w:rPr>
          <w:rFonts w:hint="eastAsia"/>
        </w:rPr>
        <w:t>为精神或心理障碍患者提供住院治疗、不实行封闭式管理的模式。</w:t>
      </w:r>
    </w:p>
    <w:p w14:paraId="2914BB1C">
      <w:pPr>
        <w:pStyle w:val="105"/>
        <w:spacing w:before="240" w:after="240"/>
      </w:pPr>
      <w:bookmarkStart w:id="65" w:name="_Toc225874494"/>
      <w:bookmarkStart w:id="66" w:name="_Toc225873046"/>
      <w:bookmarkStart w:id="67" w:name="_Toc233381850"/>
      <w:bookmarkStart w:id="68" w:name="_Toc233573709"/>
      <w:bookmarkStart w:id="69" w:name="_Toc233558333"/>
      <w:r>
        <w:rPr>
          <w:rFonts w:hint="eastAsia"/>
        </w:rPr>
        <w:t>环境和设施设备管理</w:t>
      </w:r>
      <w:bookmarkEnd w:id="65"/>
      <w:bookmarkEnd w:id="66"/>
      <w:bookmarkEnd w:id="67"/>
      <w:bookmarkEnd w:id="68"/>
      <w:bookmarkEnd w:id="69"/>
    </w:p>
    <w:p w14:paraId="1B5AFB77">
      <w:pPr>
        <w:pStyle w:val="106"/>
        <w:spacing w:before="120" w:after="120"/>
      </w:pPr>
      <w:bookmarkStart w:id="70" w:name="_Toc233381851"/>
      <w:bookmarkStart w:id="71" w:name="_Toc233558334"/>
      <w:bookmarkStart w:id="72" w:name="_Toc233573710"/>
      <w:r>
        <w:rPr>
          <w:rFonts w:hint="eastAsia"/>
        </w:rPr>
        <w:t>病区管理</w:t>
      </w:r>
      <w:bookmarkEnd w:id="70"/>
      <w:bookmarkEnd w:id="71"/>
      <w:bookmarkEnd w:id="72"/>
    </w:p>
    <w:p w14:paraId="0C6DB2FD">
      <w:pPr>
        <w:pStyle w:val="166"/>
      </w:pPr>
      <w:r>
        <w:rPr>
          <w:rFonts w:hint="eastAsia"/>
        </w:rPr>
        <w:t>病区应设置门禁系统，午间和夜间应定时关闭。</w:t>
      </w:r>
    </w:p>
    <w:p w14:paraId="67785492">
      <w:pPr>
        <w:pStyle w:val="166"/>
      </w:pPr>
      <w:r>
        <w:rPr>
          <w:rFonts w:hint="eastAsia"/>
        </w:rPr>
        <w:t>病房门口、走道等公共区域应安装视频监控设备，监控资料保存时间应不少于30d。</w:t>
      </w:r>
    </w:p>
    <w:p w14:paraId="0E515BE1">
      <w:pPr>
        <w:pStyle w:val="166"/>
      </w:pPr>
      <w:r>
        <w:rPr>
          <w:rFonts w:hint="eastAsia"/>
        </w:rPr>
        <w:t>窗户、阳台应安装防盗网或限位装置,地面应防滑、无障碍，并设置防滑标识。</w:t>
      </w:r>
    </w:p>
    <w:p w14:paraId="623E7D5C">
      <w:pPr>
        <w:pStyle w:val="166"/>
      </w:pPr>
      <w:r>
        <w:rPr>
          <w:rFonts w:hint="eastAsia"/>
        </w:rPr>
        <w:t>电源、消防设施应设置防护装置,浴室热水、病房饮水机应配备防烫温控装置。</w:t>
      </w:r>
    </w:p>
    <w:p w14:paraId="125C1C39">
      <w:pPr>
        <w:pStyle w:val="106"/>
        <w:spacing w:before="120" w:after="120"/>
      </w:pPr>
      <w:bookmarkStart w:id="73" w:name="_Toc233558335"/>
      <w:bookmarkStart w:id="74" w:name="_Toc233381852"/>
      <w:bookmarkStart w:id="75" w:name="_Toc233573711"/>
      <w:r>
        <w:rPr>
          <w:rFonts w:hint="eastAsia"/>
        </w:rPr>
        <w:t>病房管理</w:t>
      </w:r>
      <w:bookmarkEnd w:id="73"/>
      <w:bookmarkEnd w:id="74"/>
      <w:bookmarkEnd w:id="75"/>
    </w:p>
    <w:p w14:paraId="72B37C76">
      <w:pPr>
        <w:pStyle w:val="166"/>
      </w:pPr>
      <w:r>
        <w:rPr>
          <w:rFonts w:hint="eastAsia"/>
        </w:rPr>
        <w:t>病房门、卫生间门应向外开启，并配置通用钥匙。</w:t>
      </w:r>
    </w:p>
    <w:p w14:paraId="6ABABF30">
      <w:pPr>
        <w:pStyle w:val="166"/>
      </w:pPr>
      <w:r>
        <w:rPr>
          <w:rFonts w:hint="eastAsia"/>
        </w:rPr>
        <w:t>每个病房应设置独立卫生间，配备扶手和紧急呼叫装置，采用防滑地面。</w:t>
      </w:r>
    </w:p>
    <w:p w14:paraId="19458C40">
      <w:pPr>
        <w:pStyle w:val="166"/>
      </w:pPr>
      <w:r>
        <w:rPr>
          <w:rFonts w:hint="eastAsia"/>
        </w:rPr>
        <w:t>插座、开关应固定于墙内，不应裸露安装。</w:t>
      </w:r>
    </w:p>
    <w:p w14:paraId="1C2237BD">
      <w:pPr>
        <w:pStyle w:val="166"/>
      </w:pPr>
      <w:r>
        <w:rPr>
          <w:rFonts w:hint="eastAsia"/>
        </w:rPr>
        <w:t>供氧、吸引设备应设置控制开关，未使用时应保持关闭状态。</w:t>
      </w:r>
    </w:p>
    <w:p w14:paraId="67C101E2">
      <w:pPr>
        <w:pStyle w:val="106"/>
        <w:spacing w:before="120" w:after="120"/>
      </w:pPr>
      <w:bookmarkStart w:id="76" w:name="_Toc233558336"/>
      <w:bookmarkStart w:id="77" w:name="_Toc233381853"/>
      <w:bookmarkStart w:id="78" w:name="_Toc233573712"/>
      <w:r>
        <w:rPr>
          <w:rFonts w:hint="eastAsia"/>
        </w:rPr>
        <w:t>设施设备管理</w:t>
      </w:r>
      <w:bookmarkEnd w:id="76"/>
      <w:bookmarkEnd w:id="77"/>
      <w:bookmarkEnd w:id="78"/>
    </w:p>
    <w:p w14:paraId="72722C17">
      <w:pPr>
        <w:pStyle w:val="166"/>
      </w:pPr>
      <w:r>
        <w:rPr>
          <w:rFonts w:hint="eastAsia"/>
        </w:rPr>
        <w:t>设备的使用管理应符合《医疗卫生机构医学装备管理办法》的规定，应建立设备管理台账，详细记录使用、维护、校准等信息。</w:t>
      </w:r>
    </w:p>
    <w:p w14:paraId="21126B43">
      <w:pPr>
        <w:pStyle w:val="166"/>
      </w:pPr>
      <w:r>
        <w:rPr>
          <w:rFonts w:hint="eastAsia"/>
        </w:rPr>
        <w:t>安全管理设备、急救设备应定期检查功能状态，物理治疗设备、心理干预设备应由专业人员操作，定期进行性能检测和维护。</w:t>
      </w:r>
    </w:p>
    <w:p w14:paraId="5AA9BB63">
      <w:pPr>
        <w:pStyle w:val="166"/>
      </w:pPr>
      <w:r>
        <w:rPr>
          <w:rFonts w:hint="eastAsia"/>
        </w:rPr>
        <w:t>患者个人带入的非医疗物品经医务人员核查后登记存放，危险物品不应带入病房及患者活动区。</w:t>
      </w:r>
    </w:p>
    <w:p w14:paraId="3C869AD5">
      <w:pPr>
        <w:pStyle w:val="57"/>
        <w:ind w:firstLine="420"/>
      </w:pPr>
    </w:p>
    <w:p w14:paraId="12EEBD5D">
      <w:pPr>
        <w:pStyle w:val="105"/>
        <w:spacing w:before="240" w:after="240"/>
      </w:pPr>
      <w:bookmarkStart w:id="79" w:name="_Toc233381854"/>
      <w:bookmarkStart w:id="80" w:name="_Toc225874501"/>
      <w:bookmarkStart w:id="81" w:name="_Toc225873053"/>
      <w:bookmarkStart w:id="82" w:name="_Toc233573713"/>
      <w:bookmarkStart w:id="83" w:name="_Toc233558337"/>
      <w:r>
        <w:rPr>
          <w:rFonts w:hint="eastAsia"/>
        </w:rPr>
        <w:t>人员管理</w:t>
      </w:r>
      <w:bookmarkEnd w:id="79"/>
      <w:bookmarkEnd w:id="80"/>
      <w:bookmarkEnd w:id="81"/>
      <w:bookmarkEnd w:id="82"/>
      <w:bookmarkEnd w:id="83"/>
    </w:p>
    <w:p w14:paraId="6BE36669">
      <w:pPr>
        <w:pStyle w:val="106"/>
        <w:spacing w:before="120" w:after="120"/>
      </w:pPr>
      <w:bookmarkStart w:id="84" w:name="_Toc233381855"/>
      <w:bookmarkStart w:id="85" w:name="_Toc233573714"/>
      <w:bookmarkStart w:id="86" w:name="_Toc225873054"/>
      <w:bookmarkStart w:id="87" w:name="_Toc225874502"/>
      <w:bookmarkStart w:id="88" w:name="_Toc233558338"/>
      <w:r>
        <w:rPr>
          <w:rFonts w:hint="eastAsia"/>
        </w:rPr>
        <w:t>人员配置</w:t>
      </w:r>
      <w:bookmarkEnd w:id="84"/>
      <w:bookmarkEnd w:id="85"/>
      <w:bookmarkEnd w:id="86"/>
      <w:bookmarkEnd w:id="87"/>
      <w:bookmarkEnd w:id="88"/>
    </w:p>
    <w:p w14:paraId="0DDCAAE1">
      <w:pPr>
        <w:pStyle w:val="166"/>
      </w:pPr>
      <w:r>
        <w:rPr>
          <w:rFonts w:hint="eastAsia"/>
        </w:rPr>
        <w:t>按《医疗机构基本标准(试行)》的规定配置医师、护士、卫生技术人员。</w:t>
      </w:r>
    </w:p>
    <w:p w14:paraId="65944065">
      <w:pPr>
        <w:pStyle w:val="166"/>
      </w:pPr>
      <w:r>
        <w:rPr>
          <w:rFonts w:hint="eastAsia"/>
        </w:rPr>
        <w:t>应至少配备1名心理咨询师（治疗师），可根据病区患者人数规模增加。</w:t>
      </w:r>
    </w:p>
    <w:p w14:paraId="0377478D">
      <w:pPr>
        <w:pStyle w:val="166"/>
      </w:pPr>
      <w:r>
        <w:rPr>
          <w:rFonts w:hint="eastAsia"/>
        </w:rPr>
        <w:t>可根据工作需求配备医疗护理员，医疗护理员满足T/GXAS 871的要求。</w:t>
      </w:r>
    </w:p>
    <w:p w14:paraId="12008C12">
      <w:pPr>
        <w:pStyle w:val="106"/>
        <w:spacing w:before="120" w:after="120"/>
      </w:pPr>
      <w:bookmarkStart w:id="89" w:name="_Toc233381856"/>
      <w:bookmarkStart w:id="90" w:name="_Toc233573715"/>
      <w:bookmarkStart w:id="91" w:name="_Toc225873055"/>
      <w:bookmarkStart w:id="92" w:name="_Toc233558339"/>
      <w:bookmarkStart w:id="93" w:name="_Toc225874503"/>
      <w:r>
        <w:rPr>
          <w:rFonts w:hint="eastAsia"/>
        </w:rPr>
        <w:t>人员培训</w:t>
      </w:r>
      <w:bookmarkEnd w:id="89"/>
      <w:bookmarkEnd w:id="90"/>
      <w:bookmarkEnd w:id="91"/>
      <w:bookmarkEnd w:id="92"/>
      <w:bookmarkEnd w:id="93"/>
    </w:p>
    <w:p w14:paraId="3A0A4995">
      <w:pPr>
        <w:pStyle w:val="166"/>
      </w:pPr>
      <w:r>
        <w:rPr>
          <w:rFonts w:hint="eastAsia"/>
        </w:rPr>
        <w:t>医务人员应通过岗前培训，并定期开展精神科安全管理、风险评估、应急处置等专项培训。</w:t>
      </w:r>
    </w:p>
    <w:p w14:paraId="37B5B810">
      <w:pPr>
        <w:pStyle w:val="166"/>
      </w:pPr>
      <w:r>
        <w:rPr>
          <w:rFonts w:hint="eastAsia"/>
        </w:rPr>
        <w:t>培训内容主要包括患者外出管理流程、精神专科风险评估量表使用、高风险患者动态管控、突发事件应急处置（出走、自伤自杀、暴力攻击）等。</w:t>
      </w:r>
    </w:p>
    <w:p w14:paraId="51631CF8">
      <w:pPr>
        <w:pStyle w:val="166"/>
      </w:pPr>
      <w:r>
        <w:rPr>
          <w:rFonts w:hint="eastAsia"/>
        </w:rPr>
        <w:t>培训采用理论授课、操作实践、案例分析、情景演绎等方式开展。</w:t>
      </w:r>
    </w:p>
    <w:p w14:paraId="625B4A28">
      <w:pPr>
        <w:pStyle w:val="106"/>
        <w:spacing w:before="120" w:after="120"/>
      </w:pPr>
      <w:bookmarkStart w:id="94" w:name="_Toc225874504"/>
      <w:bookmarkStart w:id="95" w:name="_Toc225873056"/>
      <w:bookmarkStart w:id="96" w:name="_Toc233381857"/>
      <w:bookmarkStart w:id="97" w:name="_Toc233558340"/>
      <w:bookmarkStart w:id="98" w:name="_Toc233573716"/>
      <w:r>
        <w:rPr>
          <w:rFonts w:hint="eastAsia"/>
        </w:rPr>
        <w:t>工作职责</w:t>
      </w:r>
      <w:bookmarkEnd w:id="94"/>
      <w:bookmarkEnd w:id="95"/>
      <w:bookmarkEnd w:id="96"/>
      <w:bookmarkEnd w:id="97"/>
      <w:bookmarkEnd w:id="98"/>
    </w:p>
    <w:p w14:paraId="6338C83B">
      <w:pPr>
        <w:pStyle w:val="166"/>
      </w:pPr>
      <w:r>
        <w:rPr>
          <w:rFonts w:hint="eastAsia"/>
        </w:rPr>
        <w:t>医师职责：</w:t>
      </w:r>
    </w:p>
    <w:p w14:paraId="14666843">
      <w:pPr>
        <w:pStyle w:val="133"/>
      </w:pPr>
      <w:r>
        <w:rPr>
          <w:rFonts w:hint="eastAsia"/>
        </w:rPr>
        <w:t>负责患者的诊断、治疗方案的制定与调整；</w:t>
      </w:r>
    </w:p>
    <w:p w14:paraId="37BA8A3D">
      <w:pPr>
        <w:pStyle w:val="133"/>
      </w:pPr>
      <w:r>
        <w:rPr>
          <w:rFonts w:hint="eastAsia"/>
        </w:rPr>
        <w:t>负责患者入院评估、风险评估及出院评估；</w:t>
      </w:r>
    </w:p>
    <w:p w14:paraId="0A560CF9">
      <w:pPr>
        <w:pStyle w:val="133"/>
      </w:pPr>
      <w:r>
        <w:rPr>
          <w:rFonts w:hint="eastAsia"/>
        </w:rPr>
        <w:t>评估患者是否适宜进行外出活动、探视等；</w:t>
      </w:r>
    </w:p>
    <w:p w14:paraId="223C5286">
      <w:pPr>
        <w:pStyle w:val="133"/>
      </w:pPr>
      <w:r>
        <w:rPr>
          <w:rFonts w:hint="eastAsia"/>
        </w:rPr>
        <w:t>了解患者病情变化，对疑难、危重病例组织会诊或转诊。</w:t>
      </w:r>
    </w:p>
    <w:p w14:paraId="7F369CA4">
      <w:pPr>
        <w:pStyle w:val="166"/>
      </w:pPr>
      <w:r>
        <w:rPr>
          <w:rFonts w:hint="eastAsia"/>
        </w:rPr>
        <w:t>护士职责：</w:t>
      </w:r>
    </w:p>
    <w:p w14:paraId="6D244818">
      <w:pPr>
        <w:pStyle w:val="133"/>
      </w:pPr>
      <w:r>
        <w:rPr>
          <w:rFonts w:hint="eastAsia"/>
        </w:rPr>
        <w:t>按照不同患者护理需求落实基础护理和专科护理措施，定期进行巡视，发现自伤、自杀、冲动、毁物等紧急情况应立即报告处理；</w:t>
      </w:r>
    </w:p>
    <w:p w14:paraId="23EEBF20">
      <w:pPr>
        <w:pStyle w:val="133"/>
      </w:pPr>
      <w:r>
        <w:rPr>
          <w:rFonts w:hint="eastAsia"/>
        </w:rPr>
        <w:t>按医嘱执行患者治疗、给药等工作，观察并记录患者病情变化及药物不良反应；</w:t>
      </w:r>
    </w:p>
    <w:p w14:paraId="1926F296">
      <w:pPr>
        <w:pStyle w:val="133"/>
      </w:pPr>
      <w:r>
        <w:rPr>
          <w:rFonts w:hint="eastAsia"/>
        </w:rPr>
        <w:t>负责患者的入院宣教、安全宣教、出院指导及健康教育；</w:t>
      </w:r>
    </w:p>
    <w:p w14:paraId="063534AB">
      <w:pPr>
        <w:pStyle w:val="133"/>
      </w:pPr>
      <w:r>
        <w:rPr>
          <w:rFonts w:hint="eastAsia"/>
        </w:rPr>
        <w:t>负责病区环境安全检查和危险物品管理；</w:t>
      </w:r>
    </w:p>
    <w:p w14:paraId="4232453C">
      <w:pPr>
        <w:pStyle w:val="133"/>
      </w:pPr>
      <w:r>
        <w:rPr>
          <w:rFonts w:hint="eastAsia"/>
        </w:rPr>
        <w:t>对陪护人员进行指导和监督。</w:t>
      </w:r>
    </w:p>
    <w:p w14:paraId="1D96E2B8">
      <w:pPr>
        <w:pStyle w:val="166"/>
      </w:pPr>
      <w:r>
        <w:rPr>
          <w:rFonts w:hint="eastAsia"/>
        </w:rPr>
        <w:t>医疗护理员协助进行患者基础护理、检查、治疗、康复训练等工作，并协助开展病区安全管理、患者巡视，及时向护士或医师反馈患者异常情绪或行为。</w:t>
      </w:r>
    </w:p>
    <w:p w14:paraId="4084711B">
      <w:pPr>
        <w:pStyle w:val="166"/>
      </w:pPr>
      <w:r>
        <w:rPr>
          <w:rFonts w:hint="eastAsia"/>
        </w:rPr>
        <w:t>心理咨询师（治疗师）负责患者个体心理咨询、情绪疏导，协助医师开展患者心理状态评估，参与患者心理健康宣教。</w:t>
      </w:r>
    </w:p>
    <w:p w14:paraId="33F3DE7E">
      <w:pPr>
        <w:pStyle w:val="105"/>
        <w:spacing w:before="240" w:after="240"/>
      </w:pPr>
      <w:bookmarkStart w:id="99" w:name="_Toc233381858"/>
      <w:bookmarkStart w:id="100" w:name="_Toc233573717"/>
      <w:bookmarkStart w:id="101" w:name="_Toc233558341"/>
      <w:bookmarkStart w:id="102" w:name="_Toc225874505"/>
      <w:bookmarkStart w:id="103" w:name="_Toc225873057"/>
      <w:r>
        <w:rPr>
          <w:rFonts w:hint="eastAsia"/>
        </w:rPr>
        <w:t>入院管理</w:t>
      </w:r>
      <w:bookmarkEnd w:id="99"/>
      <w:bookmarkEnd w:id="100"/>
      <w:bookmarkEnd w:id="101"/>
    </w:p>
    <w:p w14:paraId="2DAB5EC4">
      <w:pPr>
        <w:pStyle w:val="106"/>
        <w:spacing w:before="120" w:after="120"/>
      </w:pPr>
      <w:bookmarkStart w:id="104" w:name="_Toc233381859"/>
      <w:bookmarkStart w:id="105" w:name="_Toc233573718"/>
      <w:bookmarkStart w:id="106" w:name="_Toc233558342"/>
      <w:r>
        <w:rPr>
          <w:rFonts w:hint="eastAsia"/>
        </w:rPr>
        <w:t>入院评估</w:t>
      </w:r>
      <w:bookmarkEnd w:id="104"/>
      <w:bookmarkEnd w:id="105"/>
      <w:bookmarkEnd w:id="106"/>
    </w:p>
    <w:p w14:paraId="225F5AA0">
      <w:pPr>
        <w:pStyle w:val="57"/>
        <w:ind w:firstLine="420"/>
      </w:pPr>
      <w:r>
        <w:rPr>
          <w:rFonts w:hint="eastAsia"/>
        </w:rPr>
        <w:t>入院评估由医师和护士共同完成，包含以下内容：</w:t>
      </w:r>
    </w:p>
    <w:p w14:paraId="3F24624C">
      <w:pPr>
        <w:pStyle w:val="133"/>
      </w:pPr>
      <w:r>
        <w:rPr>
          <w:rFonts w:hint="eastAsia"/>
        </w:rPr>
        <w:t>一般评估：入院方式、生命体征、既往史、过敏史、个人史、家族史等；</w:t>
      </w:r>
    </w:p>
    <w:p w14:paraId="71DBE3F5">
      <w:pPr>
        <w:pStyle w:val="133"/>
      </w:pPr>
      <w:r>
        <w:rPr>
          <w:rFonts w:hint="eastAsia"/>
        </w:rPr>
        <w:t>精神专科评估：评估患者感知、思维、情感、行为、自知力等；</w:t>
      </w:r>
    </w:p>
    <w:p w14:paraId="1BC532DB">
      <w:pPr>
        <w:pStyle w:val="133"/>
      </w:pPr>
      <w:r>
        <w:rPr>
          <w:rFonts w:hint="eastAsia"/>
        </w:rPr>
        <w:t>风险评估：评估患者自杀/自伤（附录A）、暴力攻击（附录B）、擅自离院（附录C）等倾向；</w:t>
      </w:r>
      <w:r>
        <w:t>按T/GXAS 1263的规定，对患者的自理能力及精神症状严重程度进行评估，确定初始护理等级。</w:t>
      </w:r>
    </w:p>
    <w:p w14:paraId="773CB0FB">
      <w:pPr>
        <w:pStyle w:val="106"/>
        <w:spacing w:before="120" w:after="120"/>
      </w:pPr>
      <w:bookmarkStart w:id="107" w:name="_Toc233381860"/>
      <w:bookmarkStart w:id="108" w:name="_Toc233558343"/>
      <w:bookmarkStart w:id="109" w:name="_Toc233573719"/>
      <w:r>
        <w:rPr>
          <w:rFonts w:hint="eastAsia"/>
        </w:rPr>
        <w:t>入院要求</w:t>
      </w:r>
      <w:bookmarkEnd w:id="107"/>
      <w:bookmarkEnd w:id="108"/>
      <w:bookmarkEnd w:id="109"/>
    </w:p>
    <w:p w14:paraId="6E5E7A94">
      <w:pPr>
        <w:pStyle w:val="57"/>
        <w:ind w:firstLine="420"/>
      </w:pPr>
      <w:r>
        <w:rPr>
          <w:rFonts w:hint="eastAsia"/>
        </w:rPr>
        <w:t>符合以下全部条件方可收入开放式病房管理：</w:t>
      </w:r>
    </w:p>
    <w:p w14:paraId="39916119">
      <w:pPr>
        <w:pStyle w:val="133"/>
      </w:pPr>
      <w:r>
        <w:rPr>
          <w:rFonts w:hint="eastAsia"/>
        </w:rPr>
        <w:t>经精神科医师诊断，符合精神科相关疾病诊断标准，且需要住院治疗；</w:t>
      </w:r>
    </w:p>
    <w:p w14:paraId="1946D420">
      <w:pPr>
        <w:pStyle w:val="133"/>
      </w:pPr>
      <w:r>
        <w:rPr>
          <w:rFonts w:hint="eastAsia"/>
        </w:rPr>
        <w:t>经评估患者自杀/自伤、暴力攻击、擅自离院的风险为中度风险以下；</w:t>
      </w:r>
    </w:p>
    <w:p w14:paraId="4D449382">
      <w:pPr>
        <w:pStyle w:val="133"/>
      </w:pPr>
      <w:r>
        <w:rPr>
          <w:rFonts w:hint="eastAsia"/>
        </w:rPr>
        <w:t>患者自愿住院或经法定监护人同意。</w:t>
      </w:r>
    </w:p>
    <w:p w14:paraId="5ADBD1CB">
      <w:pPr>
        <w:pStyle w:val="106"/>
        <w:spacing w:before="120" w:after="120"/>
      </w:pPr>
      <w:bookmarkStart w:id="110" w:name="_Toc233558344"/>
      <w:bookmarkStart w:id="111" w:name="_Toc233381861"/>
      <w:bookmarkStart w:id="112" w:name="_Toc233573720"/>
      <w:r>
        <w:rPr>
          <w:rFonts w:hint="eastAsia"/>
        </w:rPr>
        <w:t>入院检查</w:t>
      </w:r>
      <w:bookmarkEnd w:id="110"/>
      <w:bookmarkEnd w:id="111"/>
      <w:bookmarkEnd w:id="112"/>
    </w:p>
    <w:p w14:paraId="3E0C4458">
      <w:pPr>
        <w:pStyle w:val="166"/>
      </w:pPr>
      <w:r>
        <w:rPr>
          <w:rFonts w:hint="eastAsia"/>
        </w:rPr>
        <w:t>应对患者及家属携带的物品逐件检查，各类刀具、药品、玻璃制品、金属制品、绳索等危险物品由家属带回，无法带回的由医护人员登记后统一保管。</w:t>
      </w:r>
    </w:p>
    <w:p w14:paraId="77A6B783">
      <w:pPr>
        <w:pStyle w:val="166"/>
      </w:pPr>
      <w:r>
        <w:rPr>
          <w:rFonts w:hint="eastAsia"/>
        </w:rPr>
        <w:t>应对患者身体进行全面检查（包括体表有无伤痕、异物等），检查时应有家属在场，如无家属陪同，则需另1名同性工作人员在场见证。</w:t>
      </w:r>
    </w:p>
    <w:bookmarkEnd w:id="102"/>
    <w:bookmarkEnd w:id="103"/>
    <w:p w14:paraId="51DB0ABC">
      <w:pPr>
        <w:pStyle w:val="106"/>
        <w:spacing w:before="120" w:after="120"/>
      </w:pPr>
      <w:bookmarkStart w:id="113" w:name="_Toc233381862"/>
      <w:bookmarkStart w:id="114" w:name="_Toc233558345"/>
      <w:bookmarkStart w:id="115" w:name="_Toc233573721"/>
      <w:r>
        <w:rPr>
          <w:rFonts w:hint="eastAsia"/>
        </w:rPr>
        <w:t>入院宣教</w:t>
      </w:r>
      <w:bookmarkEnd w:id="113"/>
      <w:bookmarkEnd w:id="114"/>
      <w:bookmarkEnd w:id="115"/>
    </w:p>
    <w:p w14:paraId="5B37A8BC">
      <w:pPr>
        <w:pStyle w:val="166"/>
      </w:pPr>
      <w:r>
        <w:rPr>
          <w:rFonts w:hint="eastAsia"/>
        </w:rPr>
        <w:t>护士应在患者入院后及时向患者及陪护人员进行入院宣教，内容包括：病房开放管理制度（活动范围、外出请假、探视时间等）、陪护人员职责与要求、安全管理制度（危险物品禁入、每日检查、应急呼叫等）、作息时间表（治疗、活动、就餐、熄灯时间）、患者权利（知情权、隐私权、拒绝权）及投诉渠道等。</w:t>
      </w:r>
    </w:p>
    <w:p w14:paraId="0151175B">
      <w:pPr>
        <w:pStyle w:val="166"/>
      </w:pPr>
      <w:r>
        <w:rPr>
          <w:rFonts w:hint="eastAsia"/>
        </w:rPr>
        <w:t>应向患者及家属详细解读并签署住院（陪护）告知书（附录D）、危险物品告知书（附录E）、患者外出活动告知书（附录F）等知情同意文书。</w:t>
      </w:r>
    </w:p>
    <w:p w14:paraId="1EF9B67B">
      <w:pPr>
        <w:pStyle w:val="106"/>
        <w:spacing w:before="120" w:after="120"/>
      </w:pPr>
      <w:bookmarkStart w:id="116" w:name="_Toc233381863"/>
      <w:bookmarkStart w:id="117" w:name="_Toc233558346"/>
      <w:bookmarkStart w:id="118" w:name="_Toc233573722"/>
      <w:r>
        <w:rPr>
          <w:rFonts w:hint="eastAsia"/>
        </w:rPr>
        <w:t>床位安排</w:t>
      </w:r>
      <w:bookmarkEnd w:id="116"/>
      <w:bookmarkEnd w:id="117"/>
      <w:bookmarkEnd w:id="118"/>
    </w:p>
    <w:p w14:paraId="6CDA5DE8">
      <w:pPr>
        <w:pStyle w:val="57"/>
        <w:ind w:firstLine="420"/>
      </w:pPr>
      <w:r>
        <w:t>根据T/GXAS 1263评定的护理等级</w:t>
      </w:r>
      <w:r>
        <w:rPr>
          <w:rFonts w:hint="eastAsia"/>
        </w:rPr>
        <w:t>进行床位安排：</w:t>
      </w:r>
    </w:p>
    <w:p w14:paraId="10516EBB">
      <w:pPr>
        <w:pStyle w:val="133"/>
      </w:pPr>
      <w:r>
        <w:rPr>
          <w:rFonts w:hint="eastAsia"/>
        </w:rPr>
        <w:t>特级护理患者安置于监护病房，专人守护；</w:t>
      </w:r>
    </w:p>
    <w:p w14:paraId="1F11A4EC">
      <w:pPr>
        <w:pStyle w:val="133"/>
      </w:pPr>
      <w:r>
        <w:rPr>
          <w:rFonts w:hint="eastAsia"/>
        </w:rPr>
        <w:t>一级护理患者安置于护理人员易于观察的病房（靠近护士站）；</w:t>
      </w:r>
    </w:p>
    <w:p w14:paraId="02F0B2ED">
      <w:pPr>
        <w:pStyle w:val="133"/>
      </w:pPr>
      <w:r>
        <w:rPr>
          <w:rFonts w:hint="eastAsia"/>
        </w:rPr>
        <w:t>其他患者安置于普通病房。</w:t>
      </w:r>
    </w:p>
    <w:p w14:paraId="670CE29F">
      <w:pPr>
        <w:pStyle w:val="105"/>
        <w:spacing w:before="240" w:after="240"/>
      </w:pPr>
      <w:bookmarkStart w:id="119" w:name="_Toc225873060"/>
      <w:bookmarkStart w:id="120" w:name="_Toc225874508"/>
      <w:bookmarkStart w:id="121" w:name="_Toc233381864"/>
      <w:bookmarkStart w:id="122" w:name="_Toc233573723"/>
      <w:bookmarkStart w:id="123" w:name="_Toc233558347"/>
      <w:r>
        <w:rPr>
          <w:rFonts w:hint="eastAsia"/>
        </w:rPr>
        <w:t>住院</w:t>
      </w:r>
      <w:bookmarkEnd w:id="119"/>
      <w:bookmarkEnd w:id="120"/>
      <w:r>
        <w:rPr>
          <w:rFonts w:hint="eastAsia"/>
        </w:rPr>
        <w:t>管理</w:t>
      </w:r>
      <w:bookmarkEnd w:id="121"/>
      <w:bookmarkEnd w:id="122"/>
      <w:bookmarkEnd w:id="123"/>
    </w:p>
    <w:p w14:paraId="745ED443">
      <w:pPr>
        <w:pStyle w:val="106"/>
        <w:spacing w:before="120" w:after="120"/>
      </w:pPr>
      <w:bookmarkStart w:id="124" w:name="_Toc233558348"/>
      <w:bookmarkStart w:id="125" w:name="_Toc233381865"/>
      <w:bookmarkStart w:id="126" w:name="_Toc233573724"/>
      <w:r>
        <w:rPr>
          <w:rFonts w:hint="eastAsia"/>
        </w:rPr>
        <w:t>治疗与护理</w:t>
      </w:r>
      <w:bookmarkEnd w:id="124"/>
      <w:bookmarkEnd w:id="125"/>
      <w:bookmarkEnd w:id="126"/>
    </w:p>
    <w:p w14:paraId="750211C3">
      <w:pPr>
        <w:pStyle w:val="66"/>
        <w:spacing w:before="120" w:after="120"/>
      </w:pPr>
      <w:r>
        <w:rPr>
          <w:rFonts w:hint="eastAsia"/>
        </w:rPr>
        <w:t>治疗</w:t>
      </w:r>
    </w:p>
    <w:p w14:paraId="6B7056C1">
      <w:pPr>
        <w:pStyle w:val="165"/>
      </w:pPr>
      <w:r>
        <w:rPr>
          <w:rFonts w:hint="eastAsia"/>
        </w:rPr>
        <w:t>治疗应遵循生物-心理-社会模式，治疗方式包括药物治疗、心理治疗、物理治疗和康复治疗，形成评估→计划→实施→监测→调整→延续的闭环管理。</w:t>
      </w:r>
    </w:p>
    <w:p w14:paraId="4FBD2020">
      <w:pPr>
        <w:pStyle w:val="165"/>
      </w:pPr>
      <w:r>
        <w:rPr>
          <w:rFonts w:hint="eastAsia"/>
        </w:rPr>
        <w:t>特殊治疗（如MECT、胃肠镜等）应严格执行术前评估和术后交接要求，MECT治疗后由治疗室护士监护至患者完全清醒、生命体征平稳后，由病房护士与治疗室护士双方签名确认后交接。</w:t>
      </w:r>
    </w:p>
    <w:p w14:paraId="258648C3">
      <w:pPr>
        <w:pStyle w:val="165"/>
      </w:pPr>
      <w:r>
        <w:rPr>
          <w:rFonts w:hint="eastAsia"/>
        </w:rPr>
        <w:t>康复治疗应每日安排结构化康复活动（服药训练、体能训练、生活技能、社交技能、书画等），由专人负责，做好活动记录，并开展心理护理。</w:t>
      </w:r>
    </w:p>
    <w:p w14:paraId="2BA23237">
      <w:pPr>
        <w:pStyle w:val="66"/>
        <w:spacing w:before="120" w:after="120"/>
      </w:pPr>
      <w:r>
        <w:rPr>
          <w:rFonts w:hint="eastAsia"/>
        </w:rPr>
        <w:t>护理</w:t>
      </w:r>
    </w:p>
    <w:p w14:paraId="086D2580">
      <w:pPr>
        <w:pStyle w:val="165"/>
      </w:pPr>
      <w:r>
        <w:rPr>
          <w:rFonts w:hint="eastAsia"/>
        </w:rPr>
        <w:t>应根据护理等级对患者实施基础护理和专科护理，保持患者清洁、舒适及功能位。</w:t>
      </w:r>
    </w:p>
    <w:p w14:paraId="5E4457D8">
      <w:pPr>
        <w:pStyle w:val="165"/>
      </w:pPr>
      <w:r>
        <w:t>按T/GXAS 1263的规定</w:t>
      </w:r>
      <w:r>
        <w:rPr>
          <w:rFonts w:hint="eastAsia"/>
        </w:rPr>
        <w:t>定期巡视，保障患者每日生理需求，每日测量并记录体温、脉搏、呼吸，每日记录大小便情况，每周测量并记录1次体重、血压，或遵医嘱执行。</w:t>
      </w:r>
    </w:p>
    <w:p w14:paraId="7EEAEA15">
      <w:pPr>
        <w:pStyle w:val="165"/>
      </w:pPr>
      <w:r>
        <w:rPr>
          <w:rFonts w:hint="eastAsia"/>
        </w:rPr>
        <w:t>应遵医嘱实施治疗与护理，监督服药，预防患者藏药和吐药，观察治疗效果与不良反应。</w:t>
      </w:r>
    </w:p>
    <w:p w14:paraId="1523280F">
      <w:pPr>
        <w:pStyle w:val="165"/>
      </w:pPr>
      <w:r>
        <w:rPr>
          <w:rFonts w:hint="eastAsia"/>
        </w:rPr>
        <w:t>应观察患者生命体征、精神症状、意识、皮肤、活动、沟通、饮食、饮水、睡眠、各类管道等情况。</w:t>
      </w:r>
    </w:p>
    <w:p w14:paraId="00C487D1">
      <w:pPr>
        <w:pStyle w:val="165"/>
      </w:pPr>
      <w:r>
        <w:rPr>
          <w:rFonts w:hint="eastAsia"/>
        </w:rPr>
        <w:t>应提供全程健康指导，包括入院介绍、辅助检查、用药、饮食、睡眠、疾病知识、出院指导等。</w:t>
      </w:r>
    </w:p>
    <w:p w14:paraId="0E9B1187">
      <w:pPr>
        <w:pStyle w:val="106"/>
        <w:spacing w:before="120" w:after="120"/>
      </w:pPr>
      <w:bookmarkStart w:id="127" w:name="_Toc233573725"/>
      <w:bookmarkStart w:id="128" w:name="_Toc233558349"/>
      <w:bookmarkStart w:id="129" w:name="_Toc233381866"/>
      <w:bookmarkStart w:id="130" w:name="_Toc225874509"/>
      <w:bookmarkStart w:id="131" w:name="_Toc225873061"/>
      <w:r>
        <w:rPr>
          <w:rFonts w:hint="eastAsia"/>
        </w:rPr>
        <w:t>陪护与探视</w:t>
      </w:r>
      <w:bookmarkEnd w:id="127"/>
      <w:bookmarkEnd w:id="128"/>
      <w:bookmarkEnd w:id="129"/>
    </w:p>
    <w:p w14:paraId="6DFC2F26">
      <w:pPr>
        <w:pStyle w:val="66"/>
        <w:spacing w:before="120" w:after="120"/>
      </w:pPr>
      <w:r>
        <w:rPr>
          <w:rFonts w:hint="eastAsia"/>
        </w:rPr>
        <w:t>陪护</w:t>
      </w:r>
    </w:p>
    <w:p w14:paraId="7EA9B89A">
      <w:pPr>
        <w:pStyle w:val="165"/>
      </w:pPr>
      <w:r>
        <w:rPr>
          <w:rFonts w:hint="eastAsia"/>
        </w:rPr>
        <w:t>每名患者应有1名固定且身心健康的陪护人员，经医院认可后方可从事陪护工作。</w:t>
      </w:r>
    </w:p>
    <w:p w14:paraId="501BF4D7">
      <w:pPr>
        <w:pStyle w:val="165"/>
      </w:pPr>
      <w:r>
        <w:rPr>
          <w:rFonts w:hint="eastAsia"/>
        </w:rPr>
        <w:t>高风险患者应有家属或医疗护理员24</w:t>
      </w:r>
      <w:r>
        <w:rPr>
          <w:rFonts w:hint="eastAsia"/>
          <w:vertAlign w:val="superscript"/>
        </w:rPr>
        <w:t xml:space="preserve"> </w:t>
      </w:r>
      <w:r>
        <w:rPr>
          <w:rFonts w:hint="eastAsia"/>
        </w:rPr>
        <w:t>h在院陪护，不应擅自离岗或使患者独处。</w:t>
      </w:r>
    </w:p>
    <w:p w14:paraId="5B8CB08C">
      <w:pPr>
        <w:pStyle w:val="165"/>
      </w:pPr>
      <w:r>
        <w:rPr>
          <w:rFonts w:hint="eastAsia"/>
        </w:rPr>
        <w:t>陪护人员应协助护理人员做好患者生活护理及安全管理，观察患者情绪及行为变化，发现异常及时报告医护人员。</w:t>
      </w:r>
    </w:p>
    <w:p w14:paraId="3F5DDFE6">
      <w:pPr>
        <w:pStyle w:val="165"/>
      </w:pPr>
      <w:r>
        <w:rPr>
          <w:rFonts w:hint="eastAsia"/>
        </w:rPr>
        <w:t>陪护人员应参加入院宣教及每周病区宣教活动，了解病房管理制度和陪护职责。</w:t>
      </w:r>
    </w:p>
    <w:p w14:paraId="0F6349C2">
      <w:pPr>
        <w:pStyle w:val="165"/>
      </w:pPr>
      <w:r>
        <w:rPr>
          <w:rFonts w:hint="eastAsia"/>
        </w:rPr>
        <w:t>陪护人员如有违反管理制度的行为，第1次予以书面警告，第2次要求更换陪护人员。</w:t>
      </w:r>
    </w:p>
    <w:p w14:paraId="6F114ABA">
      <w:pPr>
        <w:pStyle w:val="165"/>
      </w:pPr>
      <w:r>
        <w:rPr>
          <w:rFonts w:hint="eastAsia"/>
        </w:rPr>
        <w:t>若家属无法提供符合要求的陪护人员，可医院安排医疗护理员，或将患者转入封闭式病房管理。</w:t>
      </w:r>
    </w:p>
    <w:p w14:paraId="056CA4B4">
      <w:pPr>
        <w:pStyle w:val="57"/>
        <w:ind w:firstLine="420"/>
      </w:pPr>
    </w:p>
    <w:p w14:paraId="33F74CDB">
      <w:pPr>
        <w:pStyle w:val="66"/>
        <w:spacing w:before="120" w:after="120"/>
      </w:pPr>
      <w:r>
        <w:rPr>
          <w:rFonts w:hint="eastAsia"/>
        </w:rPr>
        <w:t>探视</w:t>
      </w:r>
    </w:p>
    <w:p w14:paraId="314C41A1">
      <w:pPr>
        <w:pStyle w:val="165"/>
      </w:pPr>
      <w:r>
        <w:rPr>
          <w:rFonts w:hint="eastAsia"/>
        </w:rPr>
        <w:t>探视时间宜为白天固定时间，每次探视人数不宜超过3人。</w:t>
      </w:r>
    </w:p>
    <w:p w14:paraId="557E8FAF">
      <w:pPr>
        <w:pStyle w:val="165"/>
      </w:pPr>
      <w:r>
        <w:rPr>
          <w:rFonts w:hint="eastAsia"/>
        </w:rPr>
        <w:t>探视人员应为直系亲属或经患者/法定监护人同意的其他人员。</w:t>
      </w:r>
    </w:p>
    <w:p w14:paraId="735B1060">
      <w:pPr>
        <w:pStyle w:val="165"/>
      </w:pPr>
      <w:r>
        <w:rPr>
          <w:rFonts w:hint="eastAsia"/>
        </w:rPr>
        <w:t>探视人员禁止携带任何危险物品进入病区，进入时应配合安全检查。</w:t>
      </w:r>
    </w:p>
    <w:p w14:paraId="079030FC">
      <w:pPr>
        <w:pStyle w:val="165"/>
      </w:pPr>
      <w:r>
        <w:rPr>
          <w:rFonts w:hint="eastAsia"/>
        </w:rPr>
        <w:t>探视人员应注意观察患者情绪状态，如有异常及时报告医护人员。</w:t>
      </w:r>
    </w:p>
    <w:p w14:paraId="41B3DBA2">
      <w:pPr>
        <w:pStyle w:val="165"/>
      </w:pPr>
      <w:r>
        <w:rPr>
          <w:rFonts w:hint="eastAsia"/>
        </w:rPr>
        <w:t>患者出现以下情况不宜探视：</w:t>
      </w:r>
    </w:p>
    <w:p w14:paraId="2BFDB683">
      <w:pPr>
        <w:pStyle w:val="133"/>
      </w:pPr>
      <w:r>
        <w:rPr>
          <w:rFonts w:hint="eastAsia"/>
        </w:rPr>
        <w:t>处于急性兴奋状态、严重冲动行为状态、感染性疾病隔离期</w:t>
      </w:r>
    </w:p>
    <w:p w14:paraId="3F4F7F34">
      <w:pPr>
        <w:pStyle w:val="133"/>
      </w:pPr>
      <w:r>
        <w:rPr>
          <w:rFonts w:hint="eastAsia"/>
        </w:rPr>
        <w:t>经医师评估认为不宜进行探视的其他情形。</w:t>
      </w:r>
    </w:p>
    <w:p w14:paraId="67CFCFE5">
      <w:pPr>
        <w:pStyle w:val="106"/>
        <w:spacing w:before="120" w:after="120"/>
      </w:pPr>
      <w:bookmarkStart w:id="132" w:name="_Toc233381867"/>
      <w:bookmarkStart w:id="133" w:name="_Toc233558350"/>
      <w:bookmarkStart w:id="134" w:name="_Toc233573726"/>
      <w:r>
        <w:rPr>
          <w:rFonts w:hint="eastAsia"/>
        </w:rPr>
        <w:t>外出与返院</w:t>
      </w:r>
      <w:bookmarkEnd w:id="132"/>
      <w:bookmarkEnd w:id="133"/>
      <w:bookmarkEnd w:id="134"/>
    </w:p>
    <w:p w14:paraId="2A677483">
      <w:pPr>
        <w:pStyle w:val="66"/>
        <w:spacing w:before="120" w:after="120"/>
      </w:pPr>
      <w:r>
        <w:rPr>
          <w:rFonts w:hint="eastAsia"/>
        </w:rPr>
        <w:t>外出</w:t>
      </w:r>
    </w:p>
    <w:p w14:paraId="5DED83C7">
      <w:pPr>
        <w:pStyle w:val="165"/>
      </w:pPr>
      <w:r>
        <w:rPr>
          <w:rFonts w:hint="eastAsia"/>
        </w:rPr>
        <w:t>患者离开病房外出活动，应由陪护人员或家属全程陪同，不应单独外出。</w:t>
      </w:r>
    </w:p>
    <w:p w14:paraId="7BE5605A">
      <w:pPr>
        <w:pStyle w:val="165"/>
      </w:pPr>
      <w:r>
        <w:rPr>
          <w:rFonts w:hint="eastAsia"/>
        </w:rPr>
        <w:t>患者外出活动范围仅限于医院内，不得擅自离开医院。</w:t>
      </w:r>
    </w:p>
    <w:p w14:paraId="29AE4E97">
      <w:pPr>
        <w:pStyle w:val="165"/>
      </w:pPr>
      <w:r>
        <w:rPr>
          <w:rFonts w:hint="eastAsia"/>
        </w:rPr>
        <w:t>外出前应由医师、护士共同进行病情及风险评估，经评估适宜外出者，签署患者外出活动告知书（见附录F）。</w:t>
      </w:r>
    </w:p>
    <w:p w14:paraId="1F09ADEE">
      <w:pPr>
        <w:pStyle w:val="165"/>
      </w:pPr>
      <w:r>
        <w:rPr>
          <w:rFonts w:hint="eastAsia"/>
        </w:rPr>
        <w:t>外出前应填写开放式病房人员外出登记表（见附录G），内容包括患者姓名、床号、外出时间、预计返回时间、家属或陪护人签名、联系电话等，经医护人员签字确认后方可外出。</w:t>
      </w:r>
    </w:p>
    <w:p w14:paraId="51624A58">
      <w:pPr>
        <w:pStyle w:val="165"/>
      </w:pPr>
      <w:r>
        <w:rPr>
          <w:rFonts w:hint="eastAsia"/>
        </w:rPr>
        <w:t>存在自伤、自杀、暴力攻击、擅自离院等高风险的患者，不宜外出活动。</w:t>
      </w:r>
    </w:p>
    <w:p w14:paraId="42CAE55D">
      <w:pPr>
        <w:pStyle w:val="165"/>
      </w:pPr>
      <w:r>
        <w:rPr>
          <w:rFonts w:hint="eastAsia"/>
        </w:rPr>
        <w:t>外出时间不宜过长，外出期间应保持通信畅通，并按护理等级要求进行电话联系。</w:t>
      </w:r>
    </w:p>
    <w:p w14:paraId="7CCE00FD">
      <w:pPr>
        <w:pStyle w:val="66"/>
        <w:spacing w:before="120" w:after="120"/>
      </w:pPr>
      <w:r>
        <w:rPr>
          <w:rFonts w:hint="eastAsia"/>
        </w:rPr>
        <w:t>返院</w:t>
      </w:r>
    </w:p>
    <w:p w14:paraId="0608F2CF">
      <w:pPr>
        <w:pStyle w:val="165"/>
      </w:pPr>
      <w:r>
        <w:rPr>
          <w:rFonts w:hint="eastAsia"/>
        </w:rPr>
        <w:t>患者应在规定时间内返回病房，并在登记表中记录返回时间。</w:t>
      </w:r>
    </w:p>
    <w:p w14:paraId="20579D48">
      <w:pPr>
        <w:pStyle w:val="165"/>
      </w:pPr>
      <w:r>
        <w:rPr>
          <w:rFonts w:hint="eastAsia"/>
        </w:rPr>
        <w:t>未按规定时间返回且电话无法联系或拒不返回的，责任护士应立即汇报主管医师、科主任和护士长，启动应急预案，并详细记录事件经过。</w:t>
      </w:r>
    </w:p>
    <w:p w14:paraId="5C39A1D4">
      <w:pPr>
        <w:pStyle w:val="165"/>
      </w:pPr>
      <w:r>
        <w:rPr>
          <w:rFonts w:hint="eastAsia"/>
        </w:rPr>
        <w:t>患者返回后应由医护人员全面检查身体及随身物品，发现危险物品的，由家属带回或统一保管，进行健康教育并限制外出。</w:t>
      </w:r>
    </w:p>
    <w:p w14:paraId="2A023794">
      <w:pPr>
        <w:pStyle w:val="106"/>
        <w:spacing w:before="120" w:after="120"/>
      </w:pPr>
      <w:bookmarkStart w:id="135" w:name="_Toc233573727"/>
      <w:bookmarkStart w:id="136" w:name="_Toc233558351"/>
      <w:bookmarkStart w:id="137" w:name="_Toc233381868"/>
      <w:r>
        <w:rPr>
          <w:rFonts w:hint="eastAsia"/>
        </w:rPr>
        <w:t>转科、转诊或出院</w:t>
      </w:r>
      <w:bookmarkEnd w:id="130"/>
      <w:bookmarkEnd w:id="131"/>
      <w:bookmarkEnd w:id="135"/>
      <w:bookmarkEnd w:id="136"/>
      <w:bookmarkEnd w:id="137"/>
    </w:p>
    <w:p w14:paraId="321B0262">
      <w:pPr>
        <w:pStyle w:val="66"/>
        <w:spacing w:before="120" w:after="120"/>
      </w:pPr>
      <w:bookmarkStart w:id="138" w:name="_Toc225873062"/>
      <w:bookmarkStart w:id="139" w:name="_Toc225874510"/>
      <w:r>
        <w:rPr>
          <w:rFonts w:hint="eastAsia"/>
        </w:rPr>
        <w:t>转科</w:t>
      </w:r>
    </w:p>
    <w:p w14:paraId="5137265E">
      <w:pPr>
        <w:pStyle w:val="165"/>
      </w:pPr>
      <w:r>
        <w:rPr>
          <w:rFonts w:hint="eastAsia"/>
        </w:rPr>
        <w:t>患者住院期间发生病情变化（如精神症状加重、出现严重躯体疾病等），不符合开放式病房收治要求的，应根据实际情况及时转至综合病房或精神科封闭病区治疗。</w:t>
      </w:r>
    </w:p>
    <w:p w14:paraId="4BC7C9E7">
      <w:pPr>
        <w:pStyle w:val="165"/>
      </w:pPr>
      <w:r>
        <w:rPr>
          <w:rFonts w:hint="eastAsia"/>
        </w:rPr>
        <w:t>转科时应完善转科交接记录，包括患者当前病情、风险评估结果、用药情况、护理要点等，双方签字确认。</w:t>
      </w:r>
    </w:p>
    <w:p w14:paraId="4A997005">
      <w:pPr>
        <w:pStyle w:val="66"/>
        <w:spacing w:before="120" w:after="120"/>
      </w:pPr>
      <w:r>
        <w:rPr>
          <w:rFonts w:hint="eastAsia"/>
        </w:rPr>
        <w:t>转诊</w:t>
      </w:r>
    </w:p>
    <w:p w14:paraId="7B6B4621">
      <w:pPr>
        <w:pStyle w:val="57"/>
        <w:ind w:firstLine="420"/>
      </w:pPr>
      <w:r>
        <w:rPr>
          <w:rFonts w:hint="eastAsia"/>
        </w:rPr>
        <w:t>患者急性症状得到控制，经医师评估达到转诊要求的，在取得患者及家属同意后，可转诊至基层医疗机构或社区康复机构继续治疗和康复。</w:t>
      </w:r>
    </w:p>
    <w:p w14:paraId="5D6E69C8">
      <w:pPr>
        <w:pStyle w:val="66"/>
        <w:spacing w:before="120" w:after="120"/>
      </w:pPr>
      <w:r>
        <w:rPr>
          <w:rFonts w:hint="eastAsia"/>
        </w:rPr>
        <w:t>出院</w:t>
      </w:r>
    </w:p>
    <w:p w14:paraId="6FDCF8FE">
      <w:pPr>
        <w:pStyle w:val="165"/>
      </w:pPr>
      <w:r>
        <w:rPr>
          <w:rFonts w:hint="eastAsia"/>
        </w:rPr>
        <w:t>患者病情平稳，经医师评估达到出院要求，可办理出院。</w:t>
      </w:r>
    </w:p>
    <w:p w14:paraId="0B49123A">
      <w:pPr>
        <w:pStyle w:val="165"/>
      </w:pPr>
      <w:r>
        <w:rPr>
          <w:rFonts w:hint="eastAsia"/>
        </w:rPr>
        <w:t>患者病情未平稳、未达到出院要求，但患者或家属要求出院的，应告知相关风险，签署知情同意书后办理出院。</w:t>
      </w:r>
    </w:p>
    <w:p w14:paraId="0D4CE88E">
      <w:pPr>
        <w:pStyle w:val="165"/>
      </w:pPr>
      <w:r>
        <w:rPr>
          <w:rFonts w:hint="eastAsia"/>
        </w:rPr>
        <w:t>出院前，责任护士应对患者及家属进行出院宣教，内容包括居家服药指导、复诊计划、饮食指导、生活指导、病情监测、家庭支持及紧急情况联系方式等。</w:t>
      </w:r>
    </w:p>
    <w:p w14:paraId="5A824CE0">
      <w:pPr>
        <w:pStyle w:val="57"/>
        <w:ind w:firstLine="420"/>
      </w:pPr>
    </w:p>
    <w:p w14:paraId="53CC1D8B">
      <w:pPr>
        <w:pStyle w:val="57"/>
        <w:ind w:firstLine="420"/>
      </w:pPr>
    </w:p>
    <w:p w14:paraId="5896341D">
      <w:pPr>
        <w:pStyle w:val="57"/>
        <w:ind w:firstLine="420"/>
      </w:pPr>
    </w:p>
    <w:p w14:paraId="155A157A">
      <w:pPr>
        <w:pStyle w:val="105"/>
        <w:spacing w:before="240" w:after="240"/>
      </w:pPr>
      <w:bookmarkStart w:id="140" w:name="_Toc233573728"/>
      <w:bookmarkStart w:id="141" w:name="_Toc233381869"/>
      <w:bookmarkStart w:id="142" w:name="_Toc233558352"/>
      <w:r>
        <w:rPr>
          <w:rFonts w:hint="eastAsia"/>
        </w:rPr>
        <w:t>安全管理</w:t>
      </w:r>
      <w:bookmarkEnd w:id="140"/>
      <w:bookmarkEnd w:id="141"/>
      <w:bookmarkEnd w:id="142"/>
    </w:p>
    <w:p w14:paraId="3BF6B419">
      <w:pPr>
        <w:pStyle w:val="106"/>
        <w:spacing w:before="120" w:after="120"/>
      </w:pPr>
      <w:bookmarkStart w:id="143" w:name="_Toc233381870"/>
      <w:bookmarkStart w:id="144" w:name="_Toc233558353"/>
      <w:bookmarkStart w:id="145" w:name="_Toc233573729"/>
      <w:r>
        <w:rPr>
          <w:rFonts w:hint="eastAsia"/>
        </w:rPr>
        <w:t>安全检查</w:t>
      </w:r>
      <w:bookmarkEnd w:id="143"/>
      <w:bookmarkEnd w:id="144"/>
      <w:bookmarkEnd w:id="145"/>
    </w:p>
    <w:p w14:paraId="02680791">
      <w:pPr>
        <w:pStyle w:val="57"/>
        <w:ind w:firstLine="420"/>
      </w:pPr>
      <w:r>
        <w:rPr>
          <w:rFonts w:hint="eastAsia"/>
        </w:rPr>
        <w:t>应建立安全检查制度，定期对床单元用品、患者日常用品、环境及设施设备等进行检查，记录问题并及时整改。</w:t>
      </w:r>
    </w:p>
    <w:p w14:paraId="6BF6E90A">
      <w:pPr>
        <w:pStyle w:val="106"/>
        <w:spacing w:before="120" w:after="120"/>
      </w:pPr>
      <w:bookmarkStart w:id="146" w:name="_Toc233558354"/>
      <w:bookmarkStart w:id="147" w:name="_Toc233381871"/>
      <w:bookmarkStart w:id="148" w:name="_Toc233573730"/>
      <w:r>
        <w:rPr>
          <w:rFonts w:hint="eastAsia"/>
        </w:rPr>
        <w:t>物品管理</w:t>
      </w:r>
      <w:bookmarkEnd w:id="146"/>
      <w:bookmarkEnd w:id="147"/>
      <w:bookmarkEnd w:id="148"/>
    </w:p>
    <w:p w14:paraId="7A571AA5">
      <w:pPr>
        <w:pStyle w:val="57"/>
        <w:ind w:firstLine="420"/>
      </w:pPr>
      <w:r>
        <w:rPr>
          <w:rFonts w:hint="eastAsia"/>
        </w:rPr>
        <w:t>应建立外卖、快递等物品管理制度，明确各环节物品管理流程和责任主体，定期对公共储物区域进行清洁消毒与物品盘点，做好交接记录。</w:t>
      </w:r>
    </w:p>
    <w:p w14:paraId="7AA62001">
      <w:pPr>
        <w:pStyle w:val="106"/>
        <w:spacing w:before="120" w:after="120"/>
      </w:pPr>
      <w:bookmarkStart w:id="149" w:name="_Toc233381872"/>
      <w:bookmarkStart w:id="150" w:name="_Toc233558355"/>
      <w:bookmarkStart w:id="151" w:name="_Toc233573731"/>
      <w:r>
        <w:rPr>
          <w:rFonts w:hint="eastAsia"/>
        </w:rPr>
        <w:t>感染防控</w:t>
      </w:r>
      <w:bookmarkEnd w:id="138"/>
      <w:bookmarkEnd w:id="139"/>
      <w:bookmarkEnd w:id="149"/>
      <w:bookmarkEnd w:id="150"/>
      <w:bookmarkEnd w:id="151"/>
    </w:p>
    <w:p w14:paraId="5226AE23">
      <w:pPr>
        <w:pStyle w:val="166"/>
      </w:pPr>
      <w:bookmarkStart w:id="152" w:name="_Toc225873068"/>
      <w:bookmarkStart w:id="153" w:name="_Toc225874516"/>
      <w:r>
        <w:rPr>
          <w:rFonts w:hint="eastAsia"/>
        </w:rPr>
        <w:t>医院感染预防和控制应按WS/T 510的规定执行。</w:t>
      </w:r>
    </w:p>
    <w:p w14:paraId="30F36496">
      <w:pPr>
        <w:pStyle w:val="166"/>
      </w:pPr>
      <w:r>
        <w:rPr>
          <w:rFonts w:hint="eastAsia"/>
        </w:rPr>
        <w:t>医务人员手卫生管理按WS/T 313的规定执行。</w:t>
      </w:r>
    </w:p>
    <w:p w14:paraId="0466893D">
      <w:pPr>
        <w:pStyle w:val="166"/>
      </w:pPr>
      <w:r>
        <w:rPr>
          <w:rFonts w:hint="eastAsia"/>
        </w:rPr>
        <w:t>消毒灭菌按</w:t>
      </w:r>
      <w:r>
        <w:t>WS/T 367</w:t>
      </w:r>
      <w:r>
        <w:rPr>
          <w:rFonts w:hint="eastAsia"/>
        </w:rPr>
        <w:t>的规定执行。</w:t>
      </w:r>
    </w:p>
    <w:p w14:paraId="6CABAC38">
      <w:pPr>
        <w:pStyle w:val="166"/>
      </w:pPr>
      <w:r>
        <w:rPr>
          <w:rFonts w:hint="eastAsia"/>
        </w:rPr>
        <w:t>医疗废物的分类、收集、贮存、转运和处置，按《医疗废物管理条例》的规定执行。</w:t>
      </w:r>
    </w:p>
    <w:p w14:paraId="10FACFFD">
      <w:pPr>
        <w:pStyle w:val="106"/>
        <w:spacing w:before="120" w:after="120"/>
      </w:pPr>
      <w:bookmarkStart w:id="154" w:name="_Toc233381873"/>
      <w:bookmarkStart w:id="155" w:name="_Toc233573732"/>
      <w:bookmarkStart w:id="156" w:name="_Toc233558356"/>
      <w:r>
        <w:rPr>
          <w:rFonts w:hint="eastAsia"/>
        </w:rPr>
        <w:t>应急处置</w:t>
      </w:r>
      <w:bookmarkEnd w:id="154"/>
      <w:bookmarkEnd w:id="155"/>
      <w:bookmarkEnd w:id="156"/>
    </w:p>
    <w:p w14:paraId="0109E944">
      <w:pPr>
        <w:pStyle w:val="166"/>
      </w:pPr>
      <w:r>
        <w:rPr>
          <w:rFonts w:hint="eastAsia"/>
        </w:rPr>
        <w:t>应制定各类突发事件应急预案和处理流程，包括但不限于：自杀/自伤应急预案、擅自离院应急预案、暴力攻击应急预案、火灾应急预案、患者猝死应急预案、外出途中病情变化应急预案等。</w:t>
      </w:r>
    </w:p>
    <w:p w14:paraId="74468CB3">
      <w:pPr>
        <w:pStyle w:val="166"/>
      </w:pPr>
      <w:r>
        <w:rPr>
          <w:rFonts w:hint="eastAsia"/>
        </w:rPr>
        <w:t>应急预案应明确事件报告流程、各岗位人员职责、具体处置措施和善后处理要求。</w:t>
      </w:r>
    </w:p>
    <w:p w14:paraId="5190954E">
      <w:pPr>
        <w:pStyle w:val="166"/>
      </w:pPr>
      <w:r>
        <w:rPr>
          <w:rFonts w:hint="eastAsia"/>
        </w:rPr>
        <w:t>应定期组织应急演练，全体工作人员熟练掌握应急处置流程。</w:t>
      </w:r>
    </w:p>
    <w:p w14:paraId="32BCB478">
      <w:pPr>
        <w:pStyle w:val="166"/>
      </w:pPr>
      <w:r>
        <w:rPr>
          <w:rFonts w:hint="eastAsia"/>
        </w:rPr>
        <w:t>突发事件发生后，应及时完成记录，落实改进措施，进行案例警示教育。</w:t>
      </w:r>
    </w:p>
    <w:bookmarkEnd w:id="152"/>
    <w:bookmarkEnd w:id="153"/>
    <w:p w14:paraId="0C641EFD">
      <w:pPr>
        <w:pStyle w:val="105"/>
        <w:spacing w:before="240" w:after="240"/>
      </w:pPr>
      <w:bookmarkStart w:id="157" w:name="_Toc233381874"/>
      <w:bookmarkStart w:id="158" w:name="_Toc233558357"/>
      <w:bookmarkStart w:id="159" w:name="_Toc225873074"/>
      <w:bookmarkStart w:id="160" w:name="_Toc233573733"/>
      <w:bookmarkStart w:id="161" w:name="_Toc225874522"/>
      <w:r>
        <w:rPr>
          <w:rFonts w:hint="eastAsia"/>
        </w:rPr>
        <w:t>质量评价与改进</w:t>
      </w:r>
      <w:bookmarkEnd w:id="157"/>
      <w:bookmarkEnd w:id="158"/>
      <w:bookmarkEnd w:id="159"/>
      <w:bookmarkEnd w:id="160"/>
      <w:bookmarkEnd w:id="161"/>
    </w:p>
    <w:p w14:paraId="780576A5">
      <w:pPr>
        <w:pStyle w:val="163"/>
      </w:pPr>
      <w:r>
        <w:rPr>
          <w:rFonts w:hint="eastAsia"/>
        </w:rPr>
        <w:t>应建立服务质量满意度测评机制，定期对患者及家属进行满意度测评，测评内容包括医疗服务、护理服务、环境设施、安全管理、沟通交流等。</w:t>
      </w:r>
    </w:p>
    <w:p w14:paraId="04A594A0">
      <w:pPr>
        <w:pStyle w:val="163"/>
      </w:pPr>
      <w:r>
        <w:rPr>
          <w:rFonts w:hint="eastAsia"/>
        </w:rPr>
        <w:t>应根据质量检查评价结果、不良事件分析结果和满意度测评情况，优化服务流程、提升服务质量，实现质量管理的持续改进。</w:t>
      </w:r>
    </w:p>
    <w:p w14:paraId="5F437B31">
      <w:pPr>
        <w:pStyle w:val="163"/>
      </w:pPr>
      <w:r>
        <w:rPr>
          <w:rFonts w:hint="eastAsia"/>
        </w:rPr>
        <w:t>建立质量评价与改进档案，记录质量检查结果、整改措施、整改效果、满意度测评结果等内容。</w:t>
      </w:r>
    </w:p>
    <w:p w14:paraId="3AD9E210">
      <w:pPr>
        <w:pStyle w:val="57"/>
        <w:ind w:firstLine="420"/>
      </w:pPr>
    </w:p>
    <w:p w14:paraId="53C262CB">
      <w:pPr>
        <w:pStyle w:val="163"/>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bookmarkEnd w:id="28"/>
    <w:p w14:paraId="6354DD8F">
      <w:pPr>
        <w:pStyle w:val="199"/>
        <w:rPr>
          <w:rFonts w:hint="eastAsia"/>
        </w:rPr>
      </w:pPr>
      <w:bookmarkStart w:id="162" w:name="BookMark5"/>
    </w:p>
    <w:p w14:paraId="49C4B2A8">
      <w:pPr>
        <w:pStyle w:val="200"/>
      </w:pPr>
    </w:p>
    <w:p w14:paraId="1A06AC9A">
      <w:pPr>
        <w:pStyle w:val="77"/>
        <w:spacing w:after="120"/>
      </w:pPr>
      <w:r>
        <w:br w:type="textWrapping"/>
      </w:r>
      <w:bookmarkStart w:id="163" w:name="_Toc225873075"/>
      <w:bookmarkStart w:id="164" w:name="_Toc233558358"/>
      <w:bookmarkStart w:id="165" w:name="_Toc225874523"/>
      <w:bookmarkStart w:id="166" w:name="_Toc233381875"/>
      <w:bookmarkStart w:id="167" w:name="_Toc233573734"/>
      <w:r>
        <w:rPr>
          <w:rFonts w:hint="eastAsia"/>
        </w:rPr>
        <w:t>（资料性）</w:t>
      </w:r>
      <w:r>
        <w:br w:type="textWrapping"/>
      </w:r>
      <w:r>
        <w:rPr>
          <w:rFonts w:hint="eastAsia"/>
        </w:rPr>
        <w:t>护士用自杀风险评估量表（NGASR）</w:t>
      </w:r>
      <w:bookmarkEnd w:id="163"/>
      <w:bookmarkEnd w:id="164"/>
      <w:bookmarkEnd w:id="165"/>
      <w:bookmarkEnd w:id="166"/>
      <w:bookmarkEnd w:id="167"/>
    </w:p>
    <w:p w14:paraId="0D18540F">
      <w:pPr>
        <w:pStyle w:val="57"/>
        <w:ind w:firstLine="420"/>
      </w:pPr>
      <w:r>
        <w:rPr>
          <w:rFonts w:hint="eastAsia"/>
        </w:rPr>
        <w:t>护士用自杀风险评估量表见表A.1。</w:t>
      </w:r>
    </w:p>
    <w:p w14:paraId="795D7B31">
      <w:pPr>
        <w:pStyle w:val="78"/>
        <w:spacing w:before="120" w:after="120"/>
      </w:pPr>
      <w:r>
        <w:rPr>
          <w:rFonts w:hint="eastAsia"/>
        </w:rPr>
        <w:t xml:space="preserve"> 护士用自杀风险评估量表（</w:t>
      </w:r>
      <w:r>
        <w:t>NGASR</w:t>
      </w:r>
      <w:r>
        <w:rPr>
          <w:rFonts w:hint="eastAsia"/>
        </w:rPr>
        <w: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4678"/>
        <w:gridCol w:w="1373"/>
        <w:gridCol w:w="1373"/>
        <w:gridCol w:w="1373"/>
      </w:tblGrid>
      <w:tr w14:paraId="09F4D5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77" w:type="dxa"/>
            <w:tcBorders>
              <w:top w:val="single" w:color="auto" w:sz="8" w:space="0"/>
              <w:bottom w:val="single" w:color="auto" w:sz="8" w:space="0"/>
            </w:tcBorders>
            <w:vAlign w:val="center"/>
          </w:tcPr>
          <w:p w14:paraId="124C0C67">
            <w:pPr>
              <w:pStyle w:val="179"/>
            </w:pPr>
            <w:r>
              <w:rPr>
                <w:rFonts w:hint="eastAsia"/>
              </w:rPr>
              <w:t>序号</w:t>
            </w:r>
          </w:p>
        </w:tc>
        <w:tc>
          <w:tcPr>
            <w:tcW w:w="4678" w:type="dxa"/>
            <w:tcBorders>
              <w:top w:val="single" w:color="auto" w:sz="8" w:space="0"/>
              <w:bottom w:val="single" w:color="auto" w:sz="8" w:space="0"/>
            </w:tcBorders>
            <w:vAlign w:val="center"/>
          </w:tcPr>
          <w:p w14:paraId="0A8479CD">
            <w:pPr>
              <w:pStyle w:val="179"/>
            </w:pPr>
            <w:r>
              <w:rPr>
                <w:rFonts w:hint="eastAsia"/>
              </w:rPr>
              <w:t>项目</w:t>
            </w:r>
          </w:p>
        </w:tc>
        <w:tc>
          <w:tcPr>
            <w:tcW w:w="1373" w:type="dxa"/>
            <w:tcBorders>
              <w:top w:val="single" w:color="auto" w:sz="8" w:space="0"/>
              <w:bottom w:val="single" w:color="auto" w:sz="8" w:space="0"/>
            </w:tcBorders>
            <w:vAlign w:val="center"/>
          </w:tcPr>
          <w:p w14:paraId="174171A9">
            <w:pPr>
              <w:pStyle w:val="179"/>
            </w:pPr>
            <w:r>
              <w:rPr>
                <w:rFonts w:hint="eastAsia"/>
              </w:rPr>
              <w:t>赋分</w:t>
            </w:r>
          </w:p>
        </w:tc>
        <w:tc>
          <w:tcPr>
            <w:tcW w:w="1373" w:type="dxa"/>
            <w:tcBorders>
              <w:top w:val="single" w:color="auto" w:sz="8" w:space="0"/>
              <w:bottom w:val="single" w:color="auto" w:sz="8" w:space="0"/>
            </w:tcBorders>
            <w:vAlign w:val="center"/>
          </w:tcPr>
          <w:p w14:paraId="44B21F1C">
            <w:pPr>
              <w:pStyle w:val="179"/>
            </w:pPr>
            <w:r>
              <w:rPr>
                <w:rFonts w:hint="eastAsia"/>
              </w:rPr>
              <w:t>得分</w:t>
            </w:r>
          </w:p>
        </w:tc>
        <w:tc>
          <w:tcPr>
            <w:tcW w:w="1373" w:type="dxa"/>
            <w:tcBorders>
              <w:top w:val="single" w:color="auto" w:sz="8" w:space="0"/>
              <w:bottom w:val="single" w:color="auto" w:sz="8" w:space="0"/>
            </w:tcBorders>
            <w:vAlign w:val="center"/>
          </w:tcPr>
          <w:p w14:paraId="0060504A">
            <w:pPr>
              <w:pStyle w:val="179"/>
            </w:pPr>
            <w:r>
              <w:rPr>
                <w:rFonts w:hint="eastAsia"/>
              </w:rPr>
              <w:t>时限</w:t>
            </w:r>
          </w:p>
        </w:tc>
      </w:tr>
      <w:tr w14:paraId="7AF897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tcBorders>
              <w:top w:val="single" w:color="auto" w:sz="8" w:space="0"/>
            </w:tcBorders>
            <w:vAlign w:val="center"/>
          </w:tcPr>
          <w:p w14:paraId="10B1D560">
            <w:pPr>
              <w:pStyle w:val="179"/>
              <w:rPr>
                <w:rFonts w:hint="eastAsia" w:hAnsi="宋体"/>
                <w:szCs w:val="18"/>
              </w:rPr>
            </w:pPr>
            <w:r>
              <w:rPr>
                <w:rFonts w:hint="eastAsia" w:hAnsi="宋体"/>
                <w:szCs w:val="18"/>
              </w:rPr>
              <w:t>1</w:t>
            </w:r>
          </w:p>
        </w:tc>
        <w:tc>
          <w:tcPr>
            <w:tcW w:w="4678" w:type="dxa"/>
            <w:tcBorders>
              <w:top w:val="single" w:color="auto" w:sz="8" w:space="0"/>
            </w:tcBorders>
            <w:vAlign w:val="center"/>
          </w:tcPr>
          <w:p w14:paraId="1153807C">
            <w:pPr>
              <w:pStyle w:val="179"/>
              <w:ind w:firstLine="180" w:firstLineChars="100"/>
              <w:jc w:val="left"/>
            </w:pPr>
            <w:r>
              <w:rPr>
                <w:rFonts w:hint="eastAsia" w:hAnsi="宋体"/>
                <w:szCs w:val="18"/>
              </w:rPr>
              <w:t>绝望感</w:t>
            </w:r>
          </w:p>
        </w:tc>
        <w:tc>
          <w:tcPr>
            <w:tcW w:w="1373" w:type="dxa"/>
            <w:tcBorders>
              <w:top w:val="single" w:color="auto" w:sz="8" w:space="0"/>
            </w:tcBorders>
            <w:vAlign w:val="center"/>
          </w:tcPr>
          <w:p w14:paraId="4B74DD9D">
            <w:pPr>
              <w:pStyle w:val="179"/>
            </w:pPr>
            <w:r>
              <w:rPr>
                <w:rFonts w:hint="eastAsia" w:hAnsi="宋体"/>
                <w:szCs w:val="18"/>
              </w:rPr>
              <w:t>3</w:t>
            </w:r>
          </w:p>
        </w:tc>
        <w:tc>
          <w:tcPr>
            <w:tcW w:w="1373" w:type="dxa"/>
            <w:tcBorders>
              <w:top w:val="single" w:color="auto" w:sz="8" w:space="0"/>
            </w:tcBorders>
            <w:vAlign w:val="center"/>
          </w:tcPr>
          <w:p w14:paraId="5D66B9F2">
            <w:pPr>
              <w:pStyle w:val="179"/>
            </w:pPr>
          </w:p>
        </w:tc>
        <w:tc>
          <w:tcPr>
            <w:tcW w:w="1373" w:type="dxa"/>
            <w:vMerge w:val="restart"/>
            <w:tcBorders>
              <w:top w:val="single" w:color="auto" w:sz="8" w:space="0"/>
            </w:tcBorders>
            <w:vAlign w:val="center"/>
          </w:tcPr>
          <w:p w14:paraId="48F85C45">
            <w:pPr>
              <w:pStyle w:val="179"/>
            </w:pPr>
            <w:r>
              <w:rPr>
                <w:rFonts w:hint="eastAsia"/>
              </w:rPr>
              <w:t>近6个月内</w:t>
            </w:r>
          </w:p>
        </w:tc>
      </w:tr>
      <w:tr w14:paraId="7E1F4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2DD38B86">
            <w:pPr>
              <w:pStyle w:val="179"/>
              <w:rPr>
                <w:rFonts w:hint="eastAsia" w:hAnsi="宋体"/>
                <w:szCs w:val="18"/>
              </w:rPr>
            </w:pPr>
            <w:r>
              <w:rPr>
                <w:rFonts w:hint="eastAsia" w:hAnsi="宋体"/>
                <w:szCs w:val="18"/>
              </w:rPr>
              <w:t>2</w:t>
            </w:r>
          </w:p>
        </w:tc>
        <w:tc>
          <w:tcPr>
            <w:tcW w:w="4678" w:type="dxa"/>
            <w:vAlign w:val="center"/>
          </w:tcPr>
          <w:p w14:paraId="279C6B1F">
            <w:pPr>
              <w:pStyle w:val="179"/>
              <w:ind w:firstLine="180" w:firstLineChars="100"/>
              <w:jc w:val="left"/>
            </w:pPr>
            <w:r>
              <w:rPr>
                <w:rFonts w:hint="eastAsia" w:hAnsi="宋体"/>
                <w:szCs w:val="18"/>
              </w:rPr>
              <w:t>近期负性生活事件（如失业、经济困难、面临诉讼）</w:t>
            </w:r>
          </w:p>
        </w:tc>
        <w:tc>
          <w:tcPr>
            <w:tcW w:w="1373" w:type="dxa"/>
            <w:vAlign w:val="center"/>
          </w:tcPr>
          <w:p w14:paraId="36C65D21">
            <w:pPr>
              <w:pStyle w:val="179"/>
            </w:pPr>
            <w:r>
              <w:rPr>
                <w:rFonts w:hint="eastAsia" w:hAnsi="宋体"/>
                <w:szCs w:val="18"/>
              </w:rPr>
              <w:t>1</w:t>
            </w:r>
          </w:p>
        </w:tc>
        <w:tc>
          <w:tcPr>
            <w:tcW w:w="1373" w:type="dxa"/>
            <w:vAlign w:val="center"/>
          </w:tcPr>
          <w:p w14:paraId="72EF7ECC">
            <w:pPr>
              <w:pStyle w:val="179"/>
            </w:pPr>
          </w:p>
        </w:tc>
        <w:tc>
          <w:tcPr>
            <w:tcW w:w="1373" w:type="dxa"/>
            <w:vMerge w:val="continue"/>
            <w:vAlign w:val="center"/>
          </w:tcPr>
          <w:p w14:paraId="68E040B5">
            <w:pPr>
              <w:pStyle w:val="179"/>
            </w:pPr>
          </w:p>
        </w:tc>
      </w:tr>
      <w:tr w14:paraId="589003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1238A821">
            <w:pPr>
              <w:pStyle w:val="179"/>
              <w:rPr>
                <w:rFonts w:hint="eastAsia" w:hAnsi="宋体"/>
                <w:szCs w:val="18"/>
              </w:rPr>
            </w:pPr>
            <w:r>
              <w:rPr>
                <w:rFonts w:hint="eastAsia" w:hAnsi="宋体"/>
                <w:szCs w:val="18"/>
              </w:rPr>
              <w:t>3</w:t>
            </w:r>
          </w:p>
        </w:tc>
        <w:tc>
          <w:tcPr>
            <w:tcW w:w="4678" w:type="dxa"/>
            <w:vAlign w:val="center"/>
          </w:tcPr>
          <w:p w14:paraId="2296C571">
            <w:pPr>
              <w:pStyle w:val="179"/>
              <w:ind w:firstLine="180" w:firstLineChars="100"/>
              <w:jc w:val="left"/>
            </w:pPr>
            <w:r>
              <w:rPr>
                <w:rFonts w:hint="eastAsia" w:hAnsi="宋体"/>
                <w:szCs w:val="18"/>
              </w:rPr>
              <w:t>被害妄想或有被害内容的幻听</w:t>
            </w:r>
          </w:p>
        </w:tc>
        <w:tc>
          <w:tcPr>
            <w:tcW w:w="1373" w:type="dxa"/>
            <w:vAlign w:val="center"/>
          </w:tcPr>
          <w:p w14:paraId="0D215685">
            <w:pPr>
              <w:pStyle w:val="179"/>
            </w:pPr>
            <w:r>
              <w:rPr>
                <w:rFonts w:hint="eastAsia" w:hAnsi="宋体"/>
                <w:szCs w:val="18"/>
              </w:rPr>
              <w:t>1</w:t>
            </w:r>
          </w:p>
        </w:tc>
        <w:tc>
          <w:tcPr>
            <w:tcW w:w="1373" w:type="dxa"/>
            <w:vAlign w:val="center"/>
          </w:tcPr>
          <w:p w14:paraId="5300F752">
            <w:pPr>
              <w:pStyle w:val="179"/>
            </w:pPr>
          </w:p>
        </w:tc>
        <w:tc>
          <w:tcPr>
            <w:tcW w:w="1373" w:type="dxa"/>
            <w:vMerge w:val="continue"/>
            <w:vAlign w:val="center"/>
          </w:tcPr>
          <w:p w14:paraId="671CD7CF">
            <w:pPr>
              <w:pStyle w:val="179"/>
            </w:pPr>
          </w:p>
        </w:tc>
      </w:tr>
      <w:tr w14:paraId="22EFA7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27F3923C">
            <w:pPr>
              <w:pStyle w:val="179"/>
              <w:rPr>
                <w:rFonts w:hint="eastAsia" w:hAnsi="宋体"/>
                <w:szCs w:val="18"/>
              </w:rPr>
            </w:pPr>
            <w:r>
              <w:rPr>
                <w:rFonts w:hint="eastAsia" w:hAnsi="宋体"/>
                <w:szCs w:val="18"/>
              </w:rPr>
              <w:t>4</w:t>
            </w:r>
          </w:p>
        </w:tc>
        <w:tc>
          <w:tcPr>
            <w:tcW w:w="4678" w:type="dxa"/>
            <w:vAlign w:val="center"/>
          </w:tcPr>
          <w:p w14:paraId="463DDA4B">
            <w:pPr>
              <w:pStyle w:val="179"/>
              <w:ind w:firstLine="180" w:firstLineChars="100"/>
              <w:jc w:val="left"/>
            </w:pPr>
            <w:r>
              <w:rPr>
                <w:rFonts w:hint="eastAsia" w:hAnsi="宋体"/>
                <w:szCs w:val="18"/>
              </w:rPr>
              <w:t>情绪低落、兴趣丧失或愉快感缺乏</w:t>
            </w:r>
          </w:p>
        </w:tc>
        <w:tc>
          <w:tcPr>
            <w:tcW w:w="1373" w:type="dxa"/>
            <w:vAlign w:val="center"/>
          </w:tcPr>
          <w:p w14:paraId="4DEC488F">
            <w:pPr>
              <w:pStyle w:val="179"/>
            </w:pPr>
            <w:r>
              <w:rPr>
                <w:rFonts w:hint="eastAsia" w:hAnsi="宋体"/>
                <w:szCs w:val="18"/>
              </w:rPr>
              <w:t>3</w:t>
            </w:r>
          </w:p>
        </w:tc>
        <w:tc>
          <w:tcPr>
            <w:tcW w:w="1373" w:type="dxa"/>
            <w:vAlign w:val="center"/>
          </w:tcPr>
          <w:p w14:paraId="7CA88391">
            <w:pPr>
              <w:pStyle w:val="179"/>
            </w:pPr>
          </w:p>
        </w:tc>
        <w:tc>
          <w:tcPr>
            <w:tcW w:w="1373" w:type="dxa"/>
            <w:vMerge w:val="continue"/>
            <w:vAlign w:val="center"/>
          </w:tcPr>
          <w:p w14:paraId="67CC47E9">
            <w:pPr>
              <w:pStyle w:val="179"/>
            </w:pPr>
          </w:p>
        </w:tc>
      </w:tr>
      <w:tr w14:paraId="5B7EDD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5F03AFD1">
            <w:pPr>
              <w:pStyle w:val="179"/>
              <w:rPr>
                <w:rFonts w:hint="eastAsia" w:hAnsi="宋体"/>
                <w:szCs w:val="18"/>
              </w:rPr>
            </w:pPr>
            <w:r>
              <w:rPr>
                <w:rFonts w:hint="eastAsia" w:hAnsi="宋体"/>
                <w:szCs w:val="18"/>
              </w:rPr>
              <w:t>5</w:t>
            </w:r>
          </w:p>
        </w:tc>
        <w:tc>
          <w:tcPr>
            <w:tcW w:w="4678" w:type="dxa"/>
            <w:vAlign w:val="center"/>
          </w:tcPr>
          <w:p w14:paraId="2B7CC5CF">
            <w:pPr>
              <w:pStyle w:val="179"/>
              <w:ind w:firstLine="180" w:firstLineChars="100"/>
              <w:jc w:val="left"/>
            </w:pPr>
            <w:r>
              <w:rPr>
                <w:rFonts w:hint="eastAsia" w:hAnsi="宋体"/>
                <w:szCs w:val="18"/>
              </w:rPr>
              <w:t>人际和社会功能退缩</w:t>
            </w:r>
          </w:p>
        </w:tc>
        <w:tc>
          <w:tcPr>
            <w:tcW w:w="1373" w:type="dxa"/>
            <w:vAlign w:val="center"/>
          </w:tcPr>
          <w:p w14:paraId="6CBD6AB7">
            <w:pPr>
              <w:pStyle w:val="179"/>
            </w:pPr>
            <w:r>
              <w:rPr>
                <w:rFonts w:hint="eastAsia" w:hAnsi="宋体"/>
                <w:szCs w:val="18"/>
              </w:rPr>
              <w:t>1</w:t>
            </w:r>
          </w:p>
        </w:tc>
        <w:tc>
          <w:tcPr>
            <w:tcW w:w="1373" w:type="dxa"/>
            <w:vAlign w:val="center"/>
          </w:tcPr>
          <w:p w14:paraId="39B3EA7D">
            <w:pPr>
              <w:pStyle w:val="179"/>
            </w:pPr>
          </w:p>
        </w:tc>
        <w:tc>
          <w:tcPr>
            <w:tcW w:w="1373" w:type="dxa"/>
            <w:vMerge w:val="continue"/>
            <w:vAlign w:val="center"/>
          </w:tcPr>
          <w:p w14:paraId="46378890">
            <w:pPr>
              <w:pStyle w:val="179"/>
            </w:pPr>
          </w:p>
        </w:tc>
      </w:tr>
      <w:tr w14:paraId="2C2BF0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2CFB7B8E">
            <w:pPr>
              <w:pStyle w:val="179"/>
              <w:rPr>
                <w:rFonts w:hint="eastAsia" w:hAnsi="宋体"/>
                <w:szCs w:val="18"/>
              </w:rPr>
            </w:pPr>
            <w:r>
              <w:rPr>
                <w:rFonts w:hint="eastAsia" w:hAnsi="宋体"/>
                <w:szCs w:val="18"/>
              </w:rPr>
              <w:t>6</w:t>
            </w:r>
          </w:p>
        </w:tc>
        <w:tc>
          <w:tcPr>
            <w:tcW w:w="4678" w:type="dxa"/>
            <w:vAlign w:val="center"/>
          </w:tcPr>
          <w:p w14:paraId="46BFC81C">
            <w:pPr>
              <w:pStyle w:val="179"/>
              <w:ind w:firstLine="180" w:firstLineChars="100"/>
              <w:jc w:val="left"/>
            </w:pPr>
            <w:r>
              <w:rPr>
                <w:rFonts w:hint="eastAsia" w:hAnsi="宋体"/>
                <w:szCs w:val="18"/>
              </w:rPr>
              <w:t>言语流露自杀意图</w:t>
            </w:r>
          </w:p>
        </w:tc>
        <w:tc>
          <w:tcPr>
            <w:tcW w:w="1373" w:type="dxa"/>
            <w:vAlign w:val="center"/>
          </w:tcPr>
          <w:p w14:paraId="466CA5A0">
            <w:pPr>
              <w:pStyle w:val="179"/>
            </w:pPr>
            <w:r>
              <w:rPr>
                <w:rFonts w:hint="eastAsia" w:hAnsi="宋体"/>
                <w:szCs w:val="18"/>
              </w:rPr>
              <w:t>1</w:t>
            </w:r>
          </w:p>
        </w:tc>
        <w:tc>
          <w:tcPr>
            <w:tcW w:w="1373" w:type="dxa"/>
            <w:vAlign w:val="center"/>
          </w:tcPr>
          <w:p w14:paraId="511AC197">
            <w:pPr>
              <w:pStyle w:val="179"/>
            </w:pPr>
          </w:p>
        </w:tc>
        <w:tc>
          <w:tcPr>
            <w:tcW w:w="1373" w:type="dxa"/>
            <w:vMerge w:val="restart"/>
            <w:vAlign w:val="center"/>
          </w:tcPr>
          <w:p w14:paraId="0A81AF3A">
            <w:pPr>
              <w:pStyle w:val="179"/>
            </w:pPr>
            <w:r>
              <w:rPr>
                <w:rFonts w:hint="eastAsia"/>
              </w:rPr>
              <w:t>无</w:t>
            </w:r>
          </w:p>
        </w:tc>
      </w:tr>
      <w:tr w14:paraId="209BA6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2CBEF34D">
            <w:pPr>
              <w:pStyle w:val="179"/>
              <w:rPr>
                <w:rFonts w:hint="eastAsia" w:hAnsi="宋体"/>
                <w:szCs w:val="18"/>
              </w:rPr>
            </w:pPr>
            <w:r>
              <w:rPr>
                <w:rFonts w:hint="eastAsia" w:hAnsi="宋体"/>
                <w:szCs w:val="18"/>
              </w:rPr>
              <w:t>7</w:t>
            </w:r>
          </w:p>
        </w:tc>
        <w:tc>
          <w:tcPr>
            <w:tcW w:w="4678" w:type="dxa"/>
            <w:vAlign w:val="center"/>
          </w:tcPr>
          <w:p w14:paraId="3488A1BF">
            <w:pPr>
              <w:pStyle w:val="179"/>
              <w:ind w:firstLine="180" w:firstLineChars="100"/>
              <w:jc w:val="left"/>
            </w:pPr>
            <w:r>
              <w:rPr>
                <w:rFonts w:hint="eastAsia" w:hAnsi="宋体"/>
                <w:szCs w:val="18"/>
              </w:rPr>
              <w:t>计划采取自杀行动</w:t>
            </w:r>
          </w:p>
        </w:tc>
        <w:tc>
          <w:tcPr>
            <w:tcW w:w="1373" w:type="dxa"/>
            <w:vAlign w:val="center"/>
          </w:tcPr>
          <w:p w14:paraId="78B1EEE1">
            <w:pPr>
              <w:pStyle w:val="179"/>
            </w:pPr>
            <w:r>
              <w:rPr>
                <w:rFonts w:hint="eastAsia" w:hAnsi="宋体"/>
                <w:szCs w:val="18"/>
              </w:rPr>
              <w:t>3</w:t>
            </w:r>
          </w:p>
        </w:tc>
        <w:tc>
          <w:tcPr>
            <w:tcW w:w="1373" w:type="dxa"/>
            <w:vAlign w:val="center"/>
          </w:tcPr>
          <w:p w14:paraId="5D262D6A">
            <w:pPr>
              <w:pStyle w:val="179"/>
            </w:pPr>
          </w:p>
        </w:tc>
        <w:tc>
          <w:tcPr>
            <w:tcW w:w="1373" w:type="dxa"/>
            <w:vMerge w:val="continue"/>
            <w:vAlign w:val="center"/>
          </w:tcPr>
          <w:p w14:paraId="1CA92921">
            <w:pPr>
              <w:pStyle w:val="179"/>
            </w:pPr>
          </w:p>
        </w:tc>
      </w:tr>
      <w:tr w14:paraId="370FB8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0E5D37E4">
            <w:pPr>
              <w:pStyle w:val="179"/>
              <w:rPr>
                <w:rFonts w:hint="eastAsia" w:hAnsi="宋体"/>
                <w:szCs w:val="18"/>
              </w:rPr>
            </w:pPr>
            <w:r>
              <w:rPr>
                <w:rFonts w:hint="eastAsia" w:hAnsi="宋体"/>
                <w:szCs w:val="18"/>
              </w:rPr>
              <w:t>8</w:t>
            </w:r>
          </w:p>
        </w:tc>
        <w:tc>
          <w:tcPr>
            <w:tcW w:w="4678" w:type="dxa"/>
            <w:vAlign w:val="center"/>
          </w:tcPr>
          <w:p w14:paraId="2935E3DF">
            <w:pPr>
              <w:pStyle w:val="179"/>
              <w:ind w:firstLine="180" w:firstLineChars="100"/>
              <w:jc w:val="left"/>
            </w:pPr>
            <w:r>
              <w:rPr>
                <w:rFonts w:hint="eastAsia" w:hAnsi="宋体"/>
                <w:szCs w:val="18"/>
              </w:rPr>
              <w:t>严重精神问题和/或自杀的家族史</w:t>
            </w:r>
          </w:p>
        </w:tc>
        <w:tc>
          <w:tcPr>
            <w:tcW w:w="1373" w:type="dxa"/>
            <w:vAlign w:val="center"/>
          </w:tcPr>
          <w:p w14:paraId="1373A4C7">
            <w:pPr>
              <w:pStyle w:val="179"/>
            </w:pPr>
            <w:r>
              <w:rPr>
                <w:rFonts w:hint="eastAsia" w:hAnsi="宋体"/>
                <w:szCs w:val="18"/>
              </w:rPr>
              <w:t>1</w:t>
            </w:r>
          </w:p>
        </w:tc>
        <w:tc>
          <w:tcPr>
            <w:tcW w:w="1373" w:type="dxa"/>
            <w:vAlign w:val="center"/>
          </w:tcPr>
          <w:p w14:paraId="568513B3">
            <w:pPr>
              <w:pStyle w:val="179"/>
            </w:pPr>
          </w:p>
        </w:tc>
        <w:tc>
          <w:tcPr>
            <w:tcW w:w="1373" w:type="dxa"/>
            <w:vMerge w:val="continue"/>
            <w:vAlign w:val="center"/>
          </w:tcPr>
          <w:p w14:paraId="4A5196B7">
            <w:pPr>
              <w:pStyle w:val="179"/>
            </w:pPr>
          </w:p>
        </w:tc>
      </w:tr>
      <w:tr w14:paraId="472F1C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71224405">
            <w:pPr>
              <w:pStyle w:val="179"/>
              <w:rPr>
                <w:rFonts w:hint="eastAsia" w:hAnsi="宋体"/>
                <w:szCs w:val="18"/>
              </w:rPr>
            </w:pPr>
            <w:r>
              <w:rPr>
                <w:rFonts w:hint="eastAsia" w:hAnsi="宋体"/>
                <w:szCs w:val="18"/>
              </w:rPr>
              <w:t>9</w:t>
            </w:r>
          </w:p>
        </w:tc>
        <w:tc>
          <w:tcPr>
            <w:tcW w:w="4678" w:type="dxa"/>
            <w:vAlign w:val="center"/>
          </w:tcPr>
          <w:p w14:paraId="4A9876A4">
            <w:pPr>
              <w:pStyle w:val="179"/>
              <w:ind w:firstLine="180" w:firstLineChars="100"/>
              <w:jc w:val="left"/>
            </w:pPr>
            <w:r>
              <w:rPr>
                <w:rFonts w:hint="eastAsia" w:hAnsi="宋体"/>
                <w:szCs w:val="18"/>
              </w:rPr>
              <w:t>近亲人死亡或重要亲密关系丧失</w:t>
            </w:r>
          </w:p>
        </w:tc>
        <w:tc>
          <w:tcPr>
            <w:tcW w:w="1373" w:type="dxa"/>
            <w:vAlign w:val="center"/>
          </w:tcPr>
          <w:p w14:paraId="560C511C">
            <w:pPr>
              <w:pStyle w:val="179"/>
            </w:pPr>
            <w:r>
              <w:rPr>
                <w:rFonts w:hint="eastAsia" w:hAnsi="宋体"/>
                <w:szCs w:val="18"/>
              </w:rPr>
              <w:t>3</w:t>
            </w:r>
          </w:p>
        </w:tc>
        <w:tc>
          <w:tcPr>
            <w:tcW w:w="1373" w:type="dxa"/>
            <w:vAlign w:val="center"/>
          </w:tcPr>
          <w:p w14:paraId="31908FB7">
            <w:pPr>
              <w:pStyle w:val="179"/>
            </w:pPr>
          </w:p>
        </w:tc>
        <w:tc>
          <w:tcPr>
            <w:tcW w:w="1373" w:type="dxa"/>
            <w:vMerge w:val="continue"/>
            <w:vAlign w:val="center"/>
          </w:tcPr>
          <w:p w14:paraId="11E63294">
            <w:pPr>
              <w:pStyle w:val="179"/>
            </w:pPr>
          </w:p>
        </w:tc>
      </w:tr>
      <w:tr w14:paraId="39DF6E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7555DE18">
            <w:pPr>
              <w:pStyle w:val="179"/>
              <w:rPr>
                <w:rFonts w:hint="eastAsia" w:hAnsi="宋体"/>
                <w:szCs w:val="18"/>
              </w:rPr>
            </w:pPr>
            <w:r>
              <w:rPr>
                <w:rFonts w:hint="eastAsia" w:hAnsi="宋体"/>
                <w:szCs w:val="18"/>
              </w:rPr>
              <w:t>10</w:t>
            </w:r>
          </w:p>
        </w:tc>
        <w:tc>
          <w:tcPr>
            <w:tcW w:w="4678" w:type="dxa"/>
            <w:vAlign w:val="center"/>
          </w:tcPr>
          <w:p w14:paraId="7A3637F3">
            <w:pPr>
              <w:pStyle w:val="179"/>
              <w:ind w:firstLine="180" w:firstLineChars="100"/>
              <w:jc w:val="left"/>
            </w:pPr>
            <w:r>
              <w:rPr>
                <w:rFonts w:hint="eastAsia" w:hAnsi="宋体"/>
                <w:szCs w:val="18"/>
              </w:rPr>
              <w:t>精神病史</w:t>
            </w:r>
          </w:p>
        </w:tc>
        <w:tc>
          <w:tcPr>
            <w:tcW w:w="1373" w:type="dxa"/>
            <w:vAlign w:val="center"/>
          </w:tcPr>
          <w:p w14:paraId="0D0D6196">
            <w:pPr>
              <w:pStyle w:val="179"/>
            </w:pPr>
            <w:r>
              <w:rPr>
                <w:rFonts w:hint="eastAsia" w:hAnsi="宋体"/>
                <w:szCs w:val="18"/>
              </w:rPr>
              <w:t>1</w:t>
            </w:r>
          </w:p>
        </w:tc>
        <w:tc>
          <w:tcPr>
            <w:tcW w:w="1373" w:type="dxa"/>
            <w:vAlign w:val="center"/>
          </w:tcPr>
          <w:p w14:paraId="55657828">
            <w:pPr>
              <w:pStyle w:val="179"/>
            </w:pPr>
          </w:p>
        </w:tc>
        <w:tc>
          <w:tcPr>
            <w:tcW w:w="1373" w:type="dxa"/>
            <w:vMerge w:val="continue"/>
            <w:vAlign w:val="center"/>
          </w:tcPr>
          <w:p w14:paraId="30BF6701">
            <w:pPr>
              <w:pStyle w:val="179"/>
            </w:pPr>
          </w:p>
        </w:tc>
      </w:tr>
      <w:tr w14:paraId="2D2A46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4B993621">
            <w:pPr>
              <w:pStyle w:val="179"/>
              <w:rPr>
                <w:rFonts w:hint="eastAsia" w:hAnsi="宋体"/>
                <w:szCs w:val="18"/>
              </w:rPr>
            </w:pPr>
            <w:r>
              <w:rPr>
                <w:rFonts w:hint="eastAsia" w:hAnsi="宋体"/>
                <w:szCs w:val="18"/>
              </w:rPr>
              <w:t>11</w:t>
            </w:r>
          </w:p>
        </w:tc>
        <w:tc>
          <w:tcPr>
            <w:tcW w:w="4678" w:type="dxa"/>
            <w:vAlign w:val="center"/>
          </w:tcPr>
          <w:p w14:paraId="4FBE7C1C">
            <w:pPr>
              <w:pStyle w:val="179"/>
              <w:ind w:firstLine="180" w:firstLineChars="100"/>
              <w:jc w:val="left"/>
            </w:pPr>
            <w:r>
              <w:rPr>
                <w:rFonts w:hint="eastAsia" w:hAnsi="宋体"/>
                <w:szCs w:val="18"/>
              </w:rPr>
              <w:t>丧偶</w:t>
            </w:r>
          </w:p>
        </w:tc>
        <w:tc>
          <w:tcPr>
            <w:tcW w:w="1373" w:type="dxa"/>
            <w:vAlign w:val="center"/>
          </w:tcPr>
          <w:p w14:paraId="59AC1C21">
            <w:pPr>
              <w:pStyle w:val="179"/>
            </w:pPr>
            <w:r>
              <w:rPr>
                <w:rFonts w:hint="eastAsia" w:hAnsi="宋体"/>
                <w:szCs w:val="18"/>
              </w:rPr>
              <w:t>1</w:t>
            </w:r>
          </w:p>
        </w:tc>
        <w:tc>
          <w:tcPr>
            <w:tcW w:w="1373" w:type="dxa"/>
            <w:vAlign w:val="center"/>
          </w:tcPr>
          <w:p w14:paraId="3AC015A6">
            <w:pPr>
              <w:pStyle w:val="179"/>
            </w:pPr>
          </w:p>
        </w:tc>
        <w:tc>
          <w:tcPr>
            <w:tcW w:w="1373" w:type="dxa"/>
            <w:vMerge w:val="continue"/>
            <w:vAlign w:val="center"/>
          </w:tcPr>
          <w:p w14:paraId="760B5E36">
            <w:pPr>
              <w:pStyle w:val="179"/>
            </w:pPr>
          </w:p>
        </w:tc>
      </w:tr>
      <w:tr w14:paraId="576807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49EB6384">
            <w:pPr>
              <w:pStyle w:val="179"/>
              <w:rPr>
                <w:rFonts w:hint="eastAsia" w:hAnsi="宋体"/>
                <w:szCs w:val="18"/>
              </w:rPr>
            </w:pPr>
            <w:r>
              <w:rPr>
                <w:rFonts w:hint="eastAsia" w:hAnsi="宋体"/>
                <w:szCs w:val="18"/>
              </w:rPr>
              <w:t>12</w:t>
            </w:r>
          </w:p>
        </w:tc>
        <w:tc>
          <w:tcPr>
            <w:tcW w:w="4678" w:type="dxa"/>
            <w:vAlign w:val="center"/>
          </w:tcPr>
          <w:p w14:paraId="6655A381">
            <w:pPr>
              <w:pStyle w:val="179"/>
              <w:ind w:firstLine="180" w:firstLineChars="100"/>
              <w:jc w:val="left"/>
            </w:pPr>
            <w:r>
              <w:rPr>
                <w:rFonts w:hint="eastAsia" w:hAnsi="宋体"/>
                <w:szCs w:val="18"/>
              </w:rPr>
              <w:t>自杀未遂史</w:t>
            </w:r>
          </w:p>
        </w:tc>
        <w:tc>
          <w:tcPr>
            <w:tcW w:w="1373" w:type="dxa"/>
            <w:vAlign w:val="center"/>
          </w:tcPr>
          <w:p w14:paraId="7E6E82EC">
            <w:pPr>
              <w:pStyle w:val="179"/>
            </w:pPr>
            <w:r>
              <w:rPr>
                <w:rFonts w:hint="eastAsia" w:hAnsi="宋体"/>
                <w:szCs w:val="18"/>
              </w:rPr>
              <w:t>3</w:t>
            </w:r>
          </w:p>
        </w:tc>
        <w:tc>
          <w:tcPr>
            <w:tcW w:w="1373" w:type="dxa"/>
            <w:vAlign w:val="center"/>
          </w:tcPr>
          <w:p w14:paraId="70A1899F">
            <w:pPr>
              <w:pStyle w:val="179"/>
            </w:pPr>
          </w:p>
        </w:tc>
        <w:tc>
          <w:tcPr>
            <w:tcW w:w="1373" w:type="dxa"/>
            <w:vMerge w:val="continue"/>
            <w:vAlign w:val="center"/>
          </w:tcPr>
          <w:p w14:paraId="00299C91">
            <w:pPr>
              <w:pStyle w:val="179"/>
            </w:pPr>
          </w:p>
        </w:tc>
      </w:tr>
      <w:tr w14:paraId="44B4A5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4CEBBC6E">
            <w:pPr>
              <w:pStyle w:val="179"/>
              <w:rPr>
                <w:rFonts w:hint="eastAsia" w:hAnsi="宋体"/>
                <w:szCs w:val="18"/>
              </w:rPr>
            </w:pPr>
            <w:r>
              <w:rPr>
                <w:rFonts w:hint="eastAsia" w:hAnsi="宋体"/>
                <w:szCs w:val="18"/>
              </w:rPr>
              <w:t>13</w:t>
            </w:r>
          </w:p>
        </w:tc>
        <w:tc>
          <w:tcPr>
            <w:tcW w:w="4678" w:type="dxa"/>
            <w:vAlign w:val="center"/>
          </w:tcPr>
          <w:p w14:paraId="0AA8B270">
            <w:pPr>
              <w:pStyle w:val="179"/>
              <w:ind w:firstLine="180" w:firstLineChars="100"/>
              <w:jc w:val="left"/>
            </w:pPr>
            <w:r>
              <w:rPr>
                <w:rFonts w:hint="eastAsia" w:hAnsi="宋体"/>
                <w:szCs w:val="18"/>
              </w:rPr>
              <w:t>社会-经济地位低下</w:t>
            </w:r>
          </w:p>
        </w:tc>
        <w:tc>
          <w:tcPr>
            <w:tcW w:w="1373" w:type="dxa"/>
            <w:vAlign w:val="center"/>
          </w:tcPr>
          <w:p w14:paraId="04D22A70">
            <w:pPr>
              <w:pStyle w:val="179"/>
            </w:pPr>
            <w:r>
              <w:rPr>
                <w:rFonts w:hint="eastAsia" w:hAnsi="宋体"/>
                <w:szCs w:val="18"/>
              </w:rPr>
              <w:t>1</w:t>
            </w:r>
          </w:p>
        </w:tc>
        <w:tc>
          <w:tcPr>
            <w:tcW w:w="1373" w:type="dxa"/>
            <w:vAlign w:val="center"/>
          </w:tcPr>
          <w:p w14:paraId="0DB2C390">
            <w:pPr>
              <w:pStyle w:val="179"/>
            </w:pPr>
          </w:p>
        </w:tc>
        <w:tc>
          <w:tcPr>
            <w:tcW w:w="1373" w:type="dxa"/>
            <w:vMerge w:val="continue"/>
            <w:vAlign w:val="center"/>
          </w:tcPr>
          <w:p w14:paraId="1E05199F">
            <w:pPr>
              <w:pStyle w:val="179"/>
            </w:pPr>
          </w:p>
        </w:tc>
      </w:tr>
      <w:tr w14:paraId="68A26E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61505105">
            <w:pPr>
              <w:pStyle w:val="179"/>
              <w:rPr>
                <w:rFonts w:hint="eastAsia" w:hAnsi="宋体"/>
                <w:szCs w:val="18"/>
              </w:rPr>
            </w:pPr>
            <w:r>
              <w:rPr>
                <w:rFonts w:hint="eastAsia" w:hAnsi="宋体"/>
                <w:szCs w:val="18"/>
              </w:rPr>
              <w:t>14</w:t>
            </w:r>
          </w:p>
        </w:tc>
        <w:tc>
          <w:tcPr>
            <w:tcW w:w="4678" w:type="dxa"/>
            <w:vAlign w:val="center"/>
          </w:tcPr>
          <w:p w14:paraId="6141078E">
            <w:pPr>
              <w:pStyle w:val="179"/>
              <w:ind w:firstLine="180" w:firstLineChars="100"/>
              <w:jc w:val="left"/>
            </w:pPr>
            <w:r>
              <w:rPr>
                <w:rFonts w:hint="eastAsia" w:hAnsi="宋体"/>
                <w:szCs w:val="18"/>
              </w:rPr>
              <w:t>酒瘾或物质滥用史</w:t>
            </w:r>
          </w:p>
        </w:tc>
        <w:tc>
          <w:tcPr>
            <w:tcW w:w="1373" w:type="dxa"/>
            <w:vAlign w:val="center"/>
          </w:tcPr>
          <w:p w14:paraId="16CBAB27">
            <w:pPr>
              <w:pStyle w:val="179"/>
            </w:pPr>
            <w:r>
              <w:rPr>
                <w:rFonts w:hint="eastAsia" w:hAnsi="宋体"/>
                <w:szCs w:val="18"/>
              </w:rPr>
              <w:t>1</w:t>
            </w:r>
          </w:p>
        </w:tc>
        <w:tc>
          <w:tcPr>
            <w:tcW w:w="1373" w:type="dxa"/>
            <w:vAlign w:val="center"/>
          </w:tcPr>
          <w:p w14:paraId="1E71C578">
            <w:pPr>
              <w:pStyle w:val="179"/>
            </w:pPr>
          </w:p>
        </w:tc>
        <w:tc>
          <w:tcPr>
            <w:tcW w:w="1373" w:type="dxa"/>
            <w:vMerge w:val="continue"/>
            <w:vAlign w:val="center"/>
          </w:tcPr>
          <w:p w14:paraId="0DB15F51">
            <w:pPr>
              <w:pStyle w:val="179"/>
            </w:pPr>
          </w:p>
        </w:tc>
      </w:tr>
      <w:tr w14:paraId="5BC8A9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3A6DA16A">
            <w:pPr>
              <w:pStyle w:val="179"/>
              <w:rPr>
                <w:rFonts w:hint="eastAsia" w:hAnsi="宋体"/>
                <w:szCs w:val="18"/>
              </w:rPr>
            </w:pPr>
            <w:r>
              <w:rPr>
                <w:rFonts w:hint="eastAsia" w:hAnsi="宋体"/>
                <w:szCs w:val="18"/>
              </w:rPr>
              <w:t>15</w:t>
            </w:r>
          </w:p>
        </w:tc>
        <w:tc>
          <w:tcPr>
            <w:tcW w:w="4678" w:type="dxa"/>
            <w:vAlign w:val="center"/>
          </w:tcPr>
          <w:p w14:paraId="1AD63082">
            <w:pPr>
              <w:pStyle w:val="179"/>
              <w:ind w:firstLine="180" w:firstLineChars="100"/>
              <w:jc w:val="left"/>
            </w:pPr>
            <w:r>
              <w:rPr>
                <w:rFonts w:hint="eastAsia" w:hAnsi="宋体"/>
                <w:szCs w:val="18"/>
              </w:rPr>
              <w:t>罹患晚期疾病</w:t>
            </w:r>
          </w:p>
        </w:tc>
        <w:tc>
          <w:tcPr>
            <w:tcW w:w="1373" w:type="dxa"/>
            <w:vAlign w:val="center"/>
          </w:tcPr>
          <w:p w14:paraId="260FAC44">
            <w:pPr>
              <w:pStyle w:val="179"/>
            </w:pPr>
            <w:r>
              <w:rPr>
                <w:rFonts w:hint="eastAsia" w:hAnsi="宋体"/>
                <w:szCs w:val="18"/>
              </w:rPr>
              <w:t>1</w:t>
            </w:r>
          </w:p>
        </w:tc>
        <w:tc>
          <w:tcPr>
            <w:tcW w:w="1373" w:type="dxa"/>
            <w:vAlign w:val="center"/>
          </w:tcPr>
          <w:p w14:paraId="425079A8">
            <w:pPr>
              <w:pStyle w:val="179"/>
            </w:pPr>
          </w:p>
        </w:tc>
        <w:tc>
          <w:tcPr>
            <w:tcW w:w="1373" w:type="dxa"/>
            <w:vMerge w:val="continue"/>
            <w:vAlign w:val="center"/>
          </w:tcPr>
          <w:p w14:paraId="2457EA6A">
            <w:pPr>
              <w:pStyle w:val="179"/>
            </w:pPr>
          </w:p>
        </w:tc>
      </w:tr>
      <w:tr w14:paraId="3E07ED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255" w:type="dxa"/>
            <w:gridSpan w:val="2"/>
            <w:vAlign w:val="center"/>
          </w:tcPr>
          <w:p w14:paraId="3C279171">
            <w:pPr>
              <w:pStyle w:val="179"/>
            </w:pPr>
            <w:r>
              <w:rPr>
                <w:rFonts w:hint="eastAsia"/>
              </w:rPr>
              <w:t>总分</w:t>
            </w:r>
          </w:p>
        </w:tc>
        <w:tc>
          <w:tcPr>
            <w:tcW w:w="1373" w:type="dxa"/>
            <w:vAlign w:val="center"/>
          </w:tcPr>
          <w:p w14:paraId="55035FB6">
            <w:pPr>
              <w:pStyle w:val="179"/>
            </w:pPr>
            <w:r>
              <w:rPr>
                <w:rFonts w:hint="eastAsia" w:hAnsi="宋体"/>
                <w:szCs w:val="18"/>
              </w:rPr>
              <w:t>25</w:t>
            </w:r>
          </w:p>
        </w:tc>
        <w:tc>
          <w:tcPr>
            <w:tcW w:w="1373" w:type="dxa"/>
            <w:vAlign w:val="center"/>
          </w:tcPr>
          <w:p w14:paraId="7D7BA3C7">
            <w:pPr>
              <w:pStyle w:val="179"/>
            </w:pPr>
          </w:p>
        </w:tc>
        <w:tc>
          <w:tcPr>
            <w:tcW w:w="1373" w:type="dxa"/>
            <w:vAlign w:val="center"/>
          </w:tcPr>
          <w:p w14:paraId="0B470142">
            <w:pPr>
              <w:pStyle w:val="179"/>
            </w:pPr>
          </w:p>
        </w:tc>
      </w:tr>
      <w:tr w14:paraId="592496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5"/>
            <w:tcBorders>
              <w:bottom w:val="single" w:color="auto" w:sz="8" w:space="0"/>
            </w:tcBorders>
            <w:vAlign w:val="center"/>
          </w:tcPr>
          <w:p w14:paraId="5120247C">
            <w:pPr>
              <w:pStyle w:val="179"/>
            </w:pPr>
            <w:r>
              <w:rPr>
                <w:rFonts w:hint="eastAsia"/>
                <w:b/>
                <w:bCs/>
              </w:rPr>
              <w:t>评分结果判断：</w:t>
            </w:r>
            <w:r>
              <w:rPr>
                <w:rFonts w:hint="eastAsia"/>
              </w:rPr>
              <w:t xml:space="preserve">   </w:t>
            </w:r>
            <w:r>
              <w:rPr>
                <w:rFonts w:hint="eastAsia"/>
                <w:bCs/>
              </w:rPr>
              <w:t>□</w:t>
            </w:r>
            <w:r>
              <w:rPr>
                <w:rFonts w:hint="eastAsia"/>
              </w:rPr>
              <w:t xml:space="preserve">低度危险（≤5分）      </w:t>
            </w:r>
            <w:r>
              <w:rPr>
                <w:rFonts w:hint="eastAsia"/>
                <w:bCs/>
              </w:rPr>
              <w:t>□</w:t>
            </w:r>
            <w:r>
              <w:rPr>
                <w:rFonts w:hint="eastAsia"/>
              </w:rPr>
              <w:t xml:space="preserve">中度危险（6～8分）      </w:t>
            </w:r>
            <w:r>
              <w:rPr>
                <w:rFonts w:hint="eastAsia"/>
                <w:bCs/>
              </w:rPr>
              <w:t>□</w:t>
            </w:r>
            <w:r>
              <w:rPr>
                <w:rFonts w:hint="eastAsia"/>
              </w:rPr>
              <w:t>高度危险（≥9分）</w:t>
            </w:r>
          </w:p>
        </w:tc>
      </w:tr>
      <w:tr w14:paraId="171B1B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5"/>
            <w:tcBorders>
              <w:top w:val="single" w:color="auto" w:sz="8" w:space="0"/>
              <w:bottom w:val="single" w:color="auto" w:sz="8" w:space="0"/>
            </w:tcBorders>
            <w:vAlign w:val="center"/>
          </w:tcPr>
          <w:p w14:paraId="6BB4EDFE">
            <w:pPr>
              <w:pStyle w:val="180"/>
            </w:pPr>
            <w:r>
              <w:rPr>
                <w:rFonts w:hint="eastAsia"/>
              </w:rPr>
              <w:t>每个条目答“否”记0分，答“是”记赋值分数，总分为25分。</w:t>
            </w:r>
          </w:p>
        </w:tc>
      </w:tr>
    </w:tbl>
    <w:p w14:paraId="05F0D7A5">
      <w:pPr>
        <w:pStyle w:val="57"/>
        <w:ind w:firstLine="420"/>
      </w:pPr>
    </w:p>
    <w:p w14:paraId="038D7850">
      <w:pPr>
        <w:pStyle w:val="57"/>
        <w:ind w:firstLine="420"/>
      </w:pPr>
    </w:p>
    <w:p w14:paraId="654D3E59">
      <w:pPr>
        <w:pStyle w:val="57"/>
        <w:ind w:firstLine="420"/>
      </w:pPr>
    </w:p>
    <w:p w14:paraId="5F5DB964">
      <w:pPr>
        <w:pStyle w:val="57"/>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14:paraId="299E2219">
      <w:pPr>
        <w:pStyle w:val="199"/>
        <w:rPr>
          <w:rFonts w:hint="eastAsia"/>
        </w:rPr>
      </w:pPr>
    </w:p>
    <w:p w14:paraId="328EDAB8">
      <w:pPr>
        <w:pStyle w:val="200"/>
      </w:pPr>
    </w:p>
    <w:p w14:paraId="2D69A32E">
      <w:pPr>
        <w:pStyle w:val="77"/>
        <w:spacing w:after="120"/>
      </w:pPr>
      <w:r>
        <w:br w:type="textWrapping"/>
      </w:r>
      <w:bookmarkStart w:id="168" w:name="_Toc233381876"/>
      <w:bookmarkStart w:id="169" w:name="_Toc225873076"/>
      <w:bookmarkStart w:id="170" w:name="_Toc225874524"/>
      <w:bookmarkStart w:id="171" w:name="_Toc233573735"/>
      <w:bookmarkStart w:id="172" w:name="_Toc233558359"/>
      <w:r>
        <w:rPr>
          <w:rFonts w:hint="eastAsia"/>
        </w:rPr>
        <w:t>（资料性）</w:t>
      </w:r>
      <w:r>
        <w:br w:type="textWrapping"/>
      </w:r>
      <w:r>
        <w:rPr>
          <w:rFonts w:hint="eastAsia"/>
        </w:rPr>
        <w:t>布罗塞特攻击行为量表（BVC）</w:t>
      </w:r>
      <w:bookmarkEnd w:id="168"/>
      <w:bookmarkEnd w:id="169"/>
      <w:bookmarkEnd w:id="170"/>
      <w:bookmarkEnd w:id="171"/>
      <w:bookmarkEnd w:id="172"/>
    </w:p>
    <w:p w14:paraId="48A5E97C">
      <w:pPr>
        <w:pStyle w:val="57"/>
        <w:ind w:firstLine="420"/>
      </w:pPr>
      <w:r>
        <w:rPr>
          <w:rFonts w:hint="eastAsia"/>
        </w:rPr>
        <w:t>布罗塞特攻击行为量表（BVC）见表B.1。</w:t>
      </w:r>
    </w:p>
    <w:p w14:paraId="1FFB28B8">
      <w:pPr>
        <w:pStyle w:val="78"/>
        <w:spacing w:before="120" w:after="120"/>
      </w:pPr>
      <w:r>
        <w:rPr>
          <w:rFonts w:hint="eastAsia"/>
        </w:rPr>
        <w:t xml:space="preserve"> 布罗塞特攻击行为量表（BVC）</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3"/>
        <w:gridCol w:w="605"/>
        <w:gridCol w:w="606"/>
        <w:gridCol w:w="5820"/>
      </w:tblGrid>
      <w:tr w14:paraId="237686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43" w:type="dxa"/>
            <w:tcBorders>
              <w:top w:val="single" w:color="auto" w:sz="8" w:space="0"/>
              <w:bottom w:val="single" w:color="auto" w:sz="8" w:space="0"/>
            </w:tcBorders>
            <w:vAlign w:val="center"/>
          </w:tcPr>
          <w:p w14:paraId="0155D930">
            <w:pPr>
              <w:pStyle w:val="179"/>
            </w:pPr>
            <w:r>
              <w:rPr>
                <w:rFonts w:hint="eastAsia"/>
              </w:rPr>
              <w:t>项目</w:t>
            </w:r>
          </w:p>
        </w:tc>
        <w:tc>
          <w:tcPr>
            <w:tcW w:w="605" w:type="dxa"/>
            <w:tcBorders>
              <w:top w:val="single" w:color="auto" w:sz="8" w:space="0"/>
              <w:bottom w:val="single" w:color="auto" w:sz="8" w:space="0"/>
            </w:tcBorders>
            <w:vAlign w:val="center"/>
          </w:tcPr>
          <w:p w14:paraId="5579BEB5">
            <w:pPr>
              <w:pStyle w:val="179"/>
            </w:pPr>
            <w:r>
              <w:rPr>
                <w:rFonts w:hint="eastAsia"/>
              </w:rPr>
              <w:t>赋分</w:t>
            </w:r>
          </w:p>
        </w:tc>
        <w:tc>
          <w:tcPr>
            <w:tcW w:w="606" w:type="dxa"/>
            <w:tcBorders>
              <w:top w:val="single" w:color="auto" w:sz="8" w:space="0"/>
              <w:bottom w:val="single" w:color="auto" w:sz="8" w:space="0"/>
            </w:tcBorders>
            <w:vAlign w:val="center"/>
          </w:tcPr>
          <w:p w14:paraId="3A960F68">
            <w:pPr>
              <w:pStyle w:val="179"/>
            </w:pPr>
            <w:r>
              <w:rPr>
                <w:rFonts w:hint="eastAsia"/>
              </w:rPr>
              <w:t>得分</w:t>
            </w:r>
          </w:p>
        </w:tc>
        <w:tc>
          <w:tcPr>
            <w:tcW w:w="5820" w:type="dxa"/>
            <w:tcBorders>
              <w:top w:val="single" w:color="auto" w:sz="8" w:space="0"/>
              <w:bottom w:val="single" w:color="auto" w:sz="8" w:space="0"/>
            </w:tcBorders>
            <w:vAlign w:val="center"/>
          </w:tcPr>
          <w:p w14:paraId="29D9CC12">
            <w:pPr>
              <w:pStyle w:val="179"/>
            </w:pPr>
            <w:r>
              <w:rPr>
                <w:rFonts w:hint="eastAsia"/>
              </w:rPr>
              <w:t>评定细则</w:t>
            </w:r>
          </w:p>
        </w:tc>
      </w:tr>
      <w:tr w14:paraId="03706B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8" w:space="0"/>
            </w:tcBorders>
            <w:vAlign w:val="center"/>
          </w:tcPr>
          <w:p w14:paraId="150D5DA1">
            <w:pPr>
              <w:pStyle w:val="179"/>
            </w:pPr>
            <w:r>
              <w:rPr>
                <w:rFonts w:hint="eastAsia" w:hAnsi="宋体"/>
                <w:color w:val="000000"/>
                <w:szCs w:val="18"/>
              </w:rPr>
              <w:t>混乱</w:t>
            </w:r>
          </w:p>
        </w:tc>
        <w:tc>
          <w:tcPr>
            <w:tcW w:w="605" w:type="dxa"/>
            <w:tcBorders>
              <w:top w:val="single" w:color="auto" w:sz="8" w:space="0"/>
            </w:tcBorders>
            <w:vAlign w:val="center"/>
          </w:tcPr>
          <w:p w14:paraId="3CCD93AC">
            <w:pPr>
              <w:pStyle w:val="179"/>
            </w:pPr>
            <w:r>
              <w:rPr>
                <w:rFonts w:hint="eastAsia"/>
              </w:rPr>
              <w:t>1</w:t>
            </w:r>
          </w:p>
        </w:tc>
        <w:tc>
          <w:tcPr>
            <w:tcW w:w="606" w:type="dxa"/>
            <w:tcBorders>
              <w:top w:val="single" w:color="auto" w:sz="8" w:space="0"/>
            </w:tcBorders>
            <w:vAlign w:val="center"/>
          </w:tcPr>
          <w:p w14:paraId="35A71171">
            <w:pPr>
              <w:pStyle w:val="179"/>
            </w:pPr>
          </w:p>
        </w:tc>
        <w:tc>
          <w:tcPr>
            <w:tcW w:w="5820" w:type="dxa"/>
            <w:tcBorders>
              <w:top w:val="single" w:color="auto" w:sz="8" w:space="0"/>
            </w:tcBorders>
            <w:vAlign w:val="center"/>
          </w:tcPr>
          <w:p w14:paraId="6554DB5D">
            <w:pPr>
              <w:pStyle w:val="179"/>
              <w:ind w:firstLine="180" w:firstLineChars="100"/>
              <w:jc w:val="left"/>
            </w:pPr>
            <w:r>
              <w:rPr>
                <w:rFonts w:hint="eastAsia"/>
              </w:rPr>
              <w:t>出现明显的混乱和定向力丧失，如分不清时间、地点、人物等</w:t>
            </w:r>
          </w:p>
        </w:tc>
      </w:tr>
      <w:tr w14:paraId="55AD74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vAlign w:val="center"/>
          </w:tcPr>
          <w:p w14:paraId="0AD08399">
            <w:pPr>
              <w:pStyle w:val="179"/>
            </w:pPr>
            <w:r>
              <w:rPr>
                <w:rFonts w:hint="eastAsia" w:hAnsi="宋体"/>
                <w:color w:val="000000"/>
                <w:szCs w:val="18"/>
              </w:rPr>
              <w:t>易怒</w:t>
            </w:r>
          </w:p>
        </w:tc>
        <w:tc>
          <w:tcPr>
            <w:tcW w:w="605" w:type="dxa"/>
            <w:vAlign w:val="center"/>
          </w:tcPr>
          <w:p w14:paraId="7C554145">
            <w:pPr>
              <w:pStyle w:val="179"/>
            </w:pPr>
            <w:r>
              <w:rPr>
                <w:rFonts w:hint="eastAsia"/>
              </w:rPr>
              <w:t>1</w:t>
            </w:r>
          </w:p>
        </w:tc>
        <w:tc>
          <w:tcPr>
            <w:tcW w:w="606" w:type="dxa"/>
            <w:vAlign w:val="center"/>
          </w:tcPr>
          <w:p w14:paraId="6DB5F936">
            <w:pPr>
              <w:pStyle w:val="179"/>
            </w:pPr>
          </w:p>
        </w:tc>
        <w:tc>
          <w:tcPr>
            <w:tcW w:w="5820" w:type="dxa"/>
            <w:vAlign w:val="center"/>
          </w:tcPr>
          <w:p w14:paraId="79268446">
            <w:pPr>
              <w:pStyle w:val="179"/>
              <w:ind w:firstLine="180" w:firstLineChars="100"/>
              <w:jc w:val="left"/>
            </w:pPr>
            <w:r>
              <w:rPr>
                <w:rFonts w:hint="eastAsia"/>
              </w:rPr>
              <w:t>容易生气或恼怒，无法容忍别人的存在等</w:t>
            </w:r>
          </w:p>
        </w:tc>
      </w:tr>
      <w:tr w14:paraId="110E8A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vAlign w:val="center"/>
          </w:tcPr>
          <w:p w14:paraId="7A65E02A">
            <w:pPr>
              <w:widowControl/>
              <w:snapToGrid w:val="0"/>
              <w:spacing w:line="240" w:lineRule="auto"/>
              <w:jc w:val="center"/>
              <w:rPr>
                <w:sz w:val="18"/>
                <w:szCs w:val="18"/>
              </w:rPr>
            </w:pPr>
            <w:r>
              <w:rPr>
                <w:rFonts w:hint="eastAsia" w:ascii="宋体" w:hAnsi="宋体"/>
                <w:color w:val="000000"/>
                <w:kern w:val="0"/>
                <w:sz w:val="18"/>
                <w:szCs w:val="18"/>
              </w:rPr>
              <w:t>喧闹、肢体攻击</w:t>
            </w:r>
          </w:p>
        </w:tc>
        <w:tc>
          <w:tcPr>
            <w:tcW w:w="605" w:type="dxa"/>
            <w:vAlign w:val="center"/>
          </w:tcPr>
          <w:p w14:paraId="31559E59">
            <w:pPr>
              <w:pStyle w:val="179"/>
            </w:pPr>
            <w:r>
              <w:rPr>
                <w:rFonts w:hint="eastAsia"/>
              </w:rPr>
              <w:t>1</w:t>
            </w:r>
          </w:p>
        </w:tc>
        <w:tc>
          <w:tcPr>
            <w:tcW w:w="606" w:type="dxa"/>
            <w:vAlign w:val="center"/>
          </w:tcPr>
          <w:p w14:paraId="3CA8962C">
            <w:pPr>
              <w:pStyle w:val="179"/>
            </w:pPr>
          </w:p>
        </w:tc>
        <w:tc>
          <w:tcPr>
            <w:tcW w:w="5820" w:type="dxa"/>
            <w:vAlign w:val="center"/>
          </w:tcPr>
          <w:p w14:paraId="2A95E7A8">
            <w:pPr>
              <w:pStyle w:val="179"/>
              <w:ind w:firstLine="180" w:firstLineChars="100"/>
              <w:jc w:val="left"/>
            </w:pPr>
            <w:r>
              <w:rPr>
                <w:rFonts w:hint="eastAsia"/>
              </w:rPr>
              <w:t>喧闹：行为明显大声或吵闹，如摔门、说话时大声喊叫等</w:t>
            </w:r>
          </w:p>
          <w:p w14:paraId="53E4F16B">
            <w:pPr>
              <w:pStyle w:val="179"/>
              <w:ind w:firstLine="180" w:firstLineChars="100"/>
              <w:jc w:val="left"/>
            </w:pPr>
            <w:r>
              <w:rPr>
                <w:rFonts w:hint="eastAsia"/>
              </w:rPr>
              <w:t>肢体攻击：有明显用肢体威胁他人的意图，如摆出攻击的姿势、拽别人衣服、挥动手臂、抬腿、握紧拳头或做出要用头顶人的样子等</w:t>
            </w:r>
          </w:p>
        </w:tc>
      </w:tr>
      <w:tr w14:paraId="389F29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vAlign w:val="center"/>
          </w:tcPr>
          <w:p w14:paraId="75E29C9E">
            <w:pPr>
              <w:pStyle w:val="179"/>
            </w:pPr>
            <w:r>
              <w:rPr>
                <w:rFonts w:hint="eastAsia" w:hAnsi="宋体"/>
                <w:color w:val="000000"/>
                <w:szCs w:val="18"/>
              </w:rPr>
              <w:t>语言攻击</w:t>
            </w:r>
          </w:p>
        </w:tc>
        <w:tc>
          <w:tcPr>
            <w:tcW w:w="605" w:type="dxa"/>
            <w:vAlign w:val="center"/>
          </w:tcPr>
          <w:p w14:paraId="119F4BBE">
            <w:pPr>
              <w:pStyle w:val="179"/>
            </w:pPr>
            <w:r>
              <w:rPr>
                <w:rFonts w:hint="eastAsia"/>
              </w:rPr>
              <w:t>1</w:t>
            </w:r>
          </w:p>
        </w:tc>
        <w:tc>
          <w:tcPr>
            <w:tcW w:w="606" w:type="dxa"/>
            <w:vAlign w:val="center"/>
          </w:tcPr>
          <w:p w14:paraId="272972B2">
            <w:pPr>
              <w:pStyle w:val="179"/>
            </w:pPr>
          </w:p>
        </w:tc>
        <w:tc>
          <w:tcPr>
            <w:tcW w:w="5820" w:type="dxa"/>
            <w:vAlign w:val="center"/>
          </w:tcPr>
          <w:p w14:paraId="7C21D2C1">
            <w:pPr>
              <w:pStyle w:val="179"/>
              <w:ind w:firstLine="180" w:firstLineChars="100"/>
              <w:jc w:val="left"/>
            </w:pPr>
            <w:r>
              <w:rPr>
                <w:rFonts w:hint="eastAsia"/>
              </w:rPr>
              <w:t>说话声音突然提高并有恐吓和威胁他人的明确意图，如语言攻击、说粗话、漫骂、以咆哮、攻击的方式表达中立看法等</w:t>
            </w:r>
          </w:p>
        </w:tc>
      </w:tr>
      <w:tr w14:paraId="45070E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vAlign w:val="center"/>
          </w:tcPr>
          <w:p w14:paraId="4D1668A4">
            <w:pPr>
              <w:pStyle w:val="179"/>
            </w:pPr>
            <w:r>
              <w:rPr>
                <w:rFonts w:hint="eastAsia" w:hAnsi="宋体"/>
                <w:color w:val="000000"/>
                <w:szCs w:val="18"/>
              </w:rPr>
              <w:t>物品攻击</w:t>
            </w:r>
          </w:p>
        </w:tc>
        <w:tc>
          <w:tcPr>
            <w:tcW w:w="605" w:type="dxa"/>
            <w:vAlign w:val="center"/>
          </w:tcPr>
          <w:p w14:paraId="6FB9357D">
            <w:pPr>
              <w:pStyle w:val="179"/>
            </w:pPr>
            <w:r>
              <w:rPr>
                <w:rFonts w:hint="eastAsia"/>
              </w:rPr>
              <w:t>1</w:t>
            </w:r>
          </w:p>
        </w:tc>
        <w:tc>
          <w:tcPr>
            <w:tcW w:w="606" w:type="dxa"/>
            <w:vAlign w:val="center"/>
          </w:tcPr>
          <w:p w14:paraId="2F45FB6A">
            <w:pPr>
              <w:pStyle w:val="179"/>
            </w:pPr>
          </w:p>
        </w:tc>
        <w:tc>
          <w:tcPr>
            <w:tcW w:w="5820" w:type="dxa"/>
            <w:vAlign w:val="center"/>
          </w:tcPr>
          <w:p w14:paraId="2ACAE6DA">
            <w:pPr>
              <w:pStyle w:val="179"/>
              <w:ind w:firstLine="180" w:firstLineChars="100"/>
              <w:jc w:val="left"/>
            </w:pPr>
            <w:r>
              <w:rPr>
                <w:rFonts w:hint="eastAsia"/>
              </w:rPr>
              <w:t>攻击对象为物品但不是人，如乱扔物品、砰砰的敲打或砸窗户、踢、敲打或用头撞击物品、砸家具等</w:t>
            </w:r>
          </w:p>
        </w:tc>
      </w:tr>
      <w:tr w14:paraId="113C4A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vAlign w:val="center"/>
          </w:tcPr>
          <w:p w14:paraId="3ACE3950">
            <w:pPr>
              <w:pStyle w:val="179"/>
            </w:pPr>
            <w:r>
              <w:rPr>
                <w:rFonts w:hint="eastAsia"/>
              </w:rPr>
              <w:t>总分</w:t>
            </w:r>
          </w:p>
        </w:tc>
        <w:tc>
          <w:tcPr>
            <w:tcW w:w="605" w:type="dxa"/>
            <w:vAlign w:val="center"/>
          </w:tcPr>
          <w:p w14:paraId="1479902D">
            <w:pPr>
              <w:pStyle w:val="179"/>
            </w:pPr>
            <w:r>
              <w:rPr>
                <w:rFonts w:hint="eastAsia"/>
              </w:rPr>
              <w:t>5</w:t>
            </w:r>
          </w:p>
        </w:tc>
        <w:tc>
          <w:tcPr>
            <w:tcW w:w="606" w:type="dxa"/>
            <w:vAlign w:val="center"/>
          </w:tcPr>
          <w:p w14:paraId="169CC739">
            <w:pPr>
              <w:pStyle w:val="179"/>
            </w:pPr>
          </w:p>
        </w:tc>
        <w:tc>
          <w:tcPr>
            <w:tcW w:w="5820" w:type="dxa"/>
            <w:vAlign w:val="center"/>
          </w:tcPr>
          <w:p w14:paraId="17938404">
            <w:pPr>
              <w:pStyle w:val="179"/>
            </w:pPr>
          </w:p>
        </w:tc>
      </w:tr>
      <w:tr w14:paraId="716703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tcBorders>
              <w:top w:val="single" w:color="auto" w:sz="8" w:space="0"/>
              <w:bottom w:val="single" w:color="auto" w:sz="8" w:space="0"/>
            </w:tcBorders>
            <w:vAlign w:val="center"/>
          </w:tcPr>
          <w:p w14:paraId="51096B52">
            <w:pPr>
              <w:pStyle w:val="179"/>
            </w:pPr>
            <w:r>
              <w:rPr>
                <w:rFonts w:hint="eastAsia"/>
                <w:b/>
                <w:bCs/>
              </w:rPr>
              <w:t>评分结果判断：</w:t>
            </w:r>
            <w:r>
              <w:rPr>
                <w:rFonts w:hint="eastAsia"/>
              </w:rPr>
              <w:t xml:space="preserve">   </w:t>
            </w:r>
            <w:r>
              <w:rPr>
                <w:rFonts w:hint="eastAsia"/>
                <w:bCs/>
              </w:rPr>
              <w:t>□</w:t>
            </w:r>
            <w:r>
              <w:rPr>
                <w:rFonts w:hint="eastAsia"/>
              </w:rPr>
              <w:t xml:space="preserve">低度危险（0分）      </w:t>
            </w:r>
            <w:r>
              <w:rPr>
                <w:rFonts w:hint="eastAsia"/>
                <w:bCs/>
              </w:rPr>
              <w:t>□</w:t>
            </w:r>
            <w:r>
              <w:rPr>
                <w:rFonts w:hint="eastAsia"/>
              </w:rPr>
              <w:t xml:space="preserve">中度危险（1～2分）      </w:t>
            </w:r>
            <w:r>
              <w:rPr>
                <w:rFonts w:hint="eastAsia"/>
                <w:bCs/>
              </w:rPr>
              <w:t>□</w:t>
            </w:r>
            <w:r>
              <w:rPr>
                <w:rFonts w:hint="eastAsia"/>
              </w:rPr>
              <w:t>高度危险（＞2分）</w:t>
            </w:r>
          </w:p>
        </w:tc>
      </w:tr>
      <w:tr w14:paraId="331271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tcBorders>
              <w:top w:val="single" w:color="auto" w:sz="8" w:space="0"/>
              <w:bottom w:val="single" w:color="auto" w:sz="8" w:space="0"/>
            </w:tcBorders>
            <w:vAlign w:val="center"/>
          </w:tcPr>
          <w:p w14:paraId="17FF2A9C">
            <w:pPr>
              <w:pStyle w:val="180"/>
            </w:pPr>
            <w:r>
              <w:rPr>
                <w:rFonts w:hint="eastAsia"/>
              </w:rPr>
              <w:t>每个项目出现评定细则情况则得相应赋分，未出现则记0分。</w:t>
            </w:r>
          </w:p>
        </w:tc>
      </w:tr>
    </w:tbl>
    <w:p w14:paraId="658A92EB">
      <w:pPr>
        <w:pStyle w:val="57"/>
        <w:ind w:firstLine="420"/>
      </w:pPr>
    </w:p>
    <w:p w14:paraId="1033275A">
      <w:pPr>
        <w:pStyle w:val="57"/>
        <w:ind w:firstLine="420"/>
      </w:pPr>
    </w:p>
    <w:p w14:paraId="15796357">
      <w:pPr>
        <w:pStyle w:val="57"/>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6CE4CA8F">
      <w:pPr>
        <w:pStyle w:val="199"/>
        <w:rPr>
          <w:rFonts w:hint="eastAsia"/>
        </w:rPr>
      </w:pPr>
    </w:p>
    <w:p w14:paraId="203BB481">
      <w:pPr>
        <w:pStyle w:val="200"/>
      </w:pPr>
    </w:p>
    <w:p w14:paraId="2D8889B6">
      <w:pPr>
        <w:pStyle w:val="77"/>
        <w:spacing w:after="120"/>
      </w:pPr>
      <w:r>
        <w:br w:type="textWrapping"/>
      </w:r>
      <w:bookmarkStart w:id="173" w:name="_Toc225874525"/>
      <w:bookmarkStart w:id="174" w:name="_Toc233558360"/>
      <w:bookmarkStart w:id="175" w:name="_Toc233381877"/>
      <w:bookmarkStart w:id="176" w:name="_Toc233573736"/>
      <w:bookmarkStart w:id="177" w:name="_Toc225873077"/>
      <w:r>
        <w:rPr>
          <w:rFonts w:hint="eastAsia"/>
        </w:rPr>
        <w:t>（资料性）</w:t>
      </w:r>
      <w:r>
        <w:br w:type="textWrapping"/>
      </w:r>
      <w:r>
        <w:rPr>
          <w:rFonts w:hint="eastAsia"/>
        </w:rPr>
        <w:t>擅自离院因素筛查表</w:t>
      </w:r>
      <w:bookmarkEnd w:id="173"/>
      <w:bookmarkEnd w:id="174"/>
      <w:bookmarkEnd w:id="175"/>
      <w:bookmarkEnd w:id="176"/>
      <w:bookmarkEnd w:id="177"/>
    </w:p>
    <w:p w14:paraId="6A17E494">
      <w:pPr>
        <w:pStyle w:val="57"/>
        <w:ind w:firstLine="420"/>
      </w:pPr>
      <w:r>
        <w:rPr>
          <w:rFonts w:hint="eastAsia"/>
        </w:rPr>
        <w:t>擅自离院因素筛查表见表C.1。</w:t>
      </w:r>
    </w:p>
    <w:p w14:paraId="31A8FD53">
      <w:pPr>
        <w:pStyle w:val="78"/>
        <w:spacing w:before="120" w:after="120"/>
      </w:pPr>
      <w:r>
        <w:rPr>
          <w:rFonts w:hint="eastAsia"/>
        </w:rPr>
        <w:t>擅自离院因素筛查表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3"/>
        <w:gridCol w:w="605"/>
        <w:gridCol w:w="606"/>
        <w:gridCol w:w="5820"/>
      </w:tblGrid>
      <w:tr w14:paraId="3A10B3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43" w:type="dxa"/>
            <w:tcBorders>
              <w:top w:val="single" w:color="auto" w:sz="8" w:space="0"/>
              <w:bottom w:val="single" w:color="auto" w:sz="8" w:space="0"/>
            </w:tcBorders>
            <w:vAlign w:val="center"/>
          </w:tcPr>
          <w:p w14:paraId="3B0B20C9">
            <w:pPr>
              <w:pStyle w:val="179"/>
            </w:pPr>
            <w:r>
              <w:rPr>
                <w:rFonts w:hint="eastAsia"/>
              </w:rPr>
              <w:t>项目</w:t>
            </w:r>
          </w:p>
        </w:tc>
        <w:tc>
          <w:tcPr>
            <w:tcW w:w="605" w:type="dxa"/>
            <w:tcBorders>
              <w:top w:val="single" w:color="auto" w:sz="8" w:space="0"/>
              <w:bottom w:val="single" w:color="auto" w:sz="8" w:space="0"/>
            </w:tcBorders>
            <w:vAlign w:val="center"/>
          </w:tcPr>
          <w:p w14:paraId="34F58B5F">
            <w:pPr>
              <w:pStyle w:val="179"/>
            </w:pPr>
            <w:r>
              <w:rPr>
                <w:rFonts w:hint="eastAsia"/>
              </w:rPr>
              <w:t>赋分</w:t>
            </w:r>
          </w:p>
        </w:tc>
        <w:tc>
          <w:tcPr>
            <w:tcW w:w="606" w:type="dxa"/>
            <w:tcBorders>
              <w:top w:val="single" w:color="auto" w:sz="8" w:space="0"/>
              <w:bottom w:val="single" w:color="auto" w:sz="8" w:space="0"/>
            </w:tcBorders>
            <w:vAlign w:val="center"/>
          </w:tcPr>
          <w:p w14:paraId="4AF098DF">
            <w:pPr>
              <w:pStyle w:val="179"/>
            </w:pPr>
            <w:r>
              <w:rPr>
                <w:rFonts w:hint="eastAsia"/>
              </w:rPr>
              <w:t>得分</w:t>
            </w:r>
          </w:p>
        </w:tc>
        <w:tc>
          <w:tcPr>
            <w:tcW w:w="5820" w:type="dxa"/>
            <w:tcBorders>
              <w:top w:val="single" w:color="auto" w:sz="8" w:space="0"/>
              <w:bottom w:val="single" w:color="auto" w:sz="8" w:space="0"/>
            </w:tcBorders>
            <w:vAlign w:val="center"/>
          </w:tcPr>
          <w:p w14:paraId="0B25894B">
            <w:pPr>
              <w:pStyle w:val="179"/>
            </w:pPr>
            <w:r>
              <w:rPr>
                <w:rFonts w:hint="eastAsia"/>
              </w:rPr>
              <w:t>评定细则</w:t>
            </w:r>
          </w:p>
        </w:tc>
      </w:tr>
      <w:tr w14:paraId="1CA3F3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8" w:space="0"/>
            </w:tcBorders>
          </w:tcPr>
          <w:p w14:paraId="2DBF2FE4">
            <w:pPr>
              <w:pStyle w:val="179"/>
              <w:ind w:firstLine="180" w:firstLineChars="100"/>
              <w:jc w:val="left"/>
            </w:pPr>
            <w:r>
              <w:rPr>
                <w:rFonts w:hint="eastAsia" w:hAnsi="宋体"/>
                <w:szCs w:val="18"/>
              </w:rPr>
              <w:t>曾有出走史</w:t>
            </w:r>
          </w:p>
        </w:tc>
        <w:tc>
          <w:tcPr>
            <w:tcW w:w="605" w:type="dxa"/>
            <w:tcBorders>
              <w:top w:val="single" w:color="auto" w:sz="8" w:space="0"/>
            </w:tcBorders>
          </w:tcPr>
          <w:p w14:paraId="1A9CFD85">
            <w:pPr>
              <w:pStyle w:val="179"/>
            </w:pPr>
            <w:r>
              <w:rPr>
                <w:rFonts w:hint="eastAsia" w:hAnsi="宋体"/>
                <w:szCs w:val="18"/>
              </w:rPr>
              <w:t>5</w:t>
            </w:r>
          </w:p>
        </w:tc>
        <w:tc>
          <w:tcPr>
            <w:tcW w:w="606" w:type="dxa"/>
            <w:tcBorders>
              <w:top w:val="single" w:color="auto" w:sz="8" w:space="0"/>
            </w:tcBorders>
            <w:vAlign w:val="center"/>
          </w:tcPr>
          <w:p w14:paraId="13B699EE">
            <w:pPr>
              <w:pStyle w:val="179"/>
            </w:pPr>
          </w:p>
        </w:tc>
        <w:tc>
          <w:tcPr>
            <w:tcW w:w="5820" w:type="dxa"/>
            <w:tcBorders>
              <w:top w:val="single" w:color="auto" w:sz="8" w:space="0"/>
            </w:tcBorders>
            <w:vAlign w:val="center"/>
          </w:tcPr>
          <w:p w14:paraId="5F3C054B">
            <w:pPr>
              <w:pStyle w:val="179"/>
              <w:ind w:firstLine="180" w:firstLineChars="100"/>
              <w:jc w:val="left"/>
            </w:pPr>
            <w:r>
              <w:rPr>
                <w:rFonts w:hint="eastAsia"/>
              </w:rPr>
              <w:t>在家中最近半年有擅自离家，或者近几次/本次住院期间有擅自离院史</w:t>
            </w:r>
          </w:p>
        </w:tc>
      </w:tr>
      <w:tr w14:paraId="6F9CA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Pr>
          <w:p w14:paraId="58B4D286">
            <w:pPr>
              <w:pStyle w:val="179"/>
              <w:ind w:firstLine="180" w:firstLineChars="100"/>
              <w:jc w:val="left"/>
            </w:pPr>
            <w:r>
              <w:rPr>
                <w:rFonts w:hint="eastAsia" w:hAnsi="宋体"/>
                <w:szCs w:val="18"/>
              </w:rPr>
              <w:t>有记忆力减退、定向障碍</w:t>
            </w:r>
          </w:p>
        </w:tc>
        <w:tc>
          <w:tcPr>
            <w:tcW w:w="605" w:type="dxa"/>
          </w:tcPr>
          <w:p w14:paraId="2BFD3BF8">
            <w:pPr>
              <w:pStyle w:val="179"/>
            </w:pPr>
            <w:r>
              <w:rPr>
                <w:rFonts w:hint="eastAsia" w:hAnsi="宋体"/>
                <w:szCs w:val="18"/>
              </w:rPr>
              <w:t>2</w:t>
            </w:r>
          </w:p>
        </w:tc>
        <w:tc>
          <w:tcPr>
            <w:tcW w:w="606" w:type="dxa"/>
            <w:vAlign w:val="center"/>
          </w:tcPr>
          <w:p w14:paraId="2CF2520A">
            <w:pPr>
              <w:pStyle w:val="179"/>
            </w:pPr>
          </w:p>
        </w:tc>
        <w:tc>
          <w:tcPr>
            <w:tcW w:w="5820" w:type="dxa"/>
            <w:vAlign w:val="center"/>
          </w:tcPr>
          <w:p w14:paraId="67422545">
            <w:pPr>
              <w:pStyle w:val="179"/>
              <w:ind w:firstLine="180" w:firstLineChars="100"/>
              <w:jc w:val="left"/>
            </w:pPr>
            <w:r>
              <w:rPr>
                <w:rFonts w:hint="eastAsia"/>
              </w:rPr>
              <w:t>包括意识障碍或痴呆引起的记忆力和定向力问题</w:t>
            </w:r>
          </w:p>
        </w:tc>
      </w:tr>
      <w:tr w14:paraId="653622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Pr>
          <w:p w14:paraId="67D3A940">
            <w:pPr>
              <w:pStyle w:val="179"/>
              <w:ind w:firstLine="180" w:firstLineChars="100"/>
              <w:jc w:val="left"/>
            </w:pPr>
            <w:r>
              <w:rPr>
                <w:rFonts w:hint="eastAsia" w:hAnsi="宋体"/>
                <w:szCs w:val="18"/>
              </w:rPr>
              <w:t>无自知力、强制住院</w:t>
            </w:r>
          </w:p>
        </w:tc>
        <w:tc>
          <w:tcPr>
            <w:tcW w:w="605" w:type="dxa"/>
          </w:tcPr>
          <w:p w14:paraId="3E10F9E8">
            <w:pPr>
              <w:pStyle w:val="179"/>
            </w:pPr>
            <w:r>
              <w:rPr>
                <w:rFonts w:hint="eastAsia" w:hAnsi="宋体"/>
                <w:szCs w:val="18"/>
              </w:rPr>
              <w:t>1</w:t>
            </w:r>
          </w:p>
        </w:tc>
        <w:tc>
          <w:tcPr>
            <w:tcW w:w="606" w:type="dxa"/>
            <w:vAlign w:val="center"/>
          </w:tcPr>
          <w:p w14:paraId="2C500436">
            <w:pPr>
              <w:pStyle w:val="179"/>
            </w:pPr>
          </w:p>
        </w:tc>
        <w:tc>
          <w:tcPr>
            <w:tcW w:w="5820" w:type="dxa"/>
            <w:vAlign w:val="center"/>
          </w:tcPr>
          <w:p w14:paraId="14BE57AC">
            <w:pPr>
              <w:pStyle w:val="179"/>
              <w:ind w:firstLine="180" w:firstLineChars="100"/>
              <w:jc w:val="left"/>
            </w:pPr>
            <w:r>
              <w:rPr>
                <w:rFonts w:hint="eastAsia"/>
              </w:rPr>
              <w:t>被家属强制/哄骗送入院，住院依从性低的患者</w:t>
            </w:r>
          </w:p>
        </w:tc>
      </w:tr>
      <w:tr w14:paraId="5FB8E4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Pr>
          <w:p w14:paraId="68E87ADA">
            <w:pPr>
              <w:pStyle w:val="179"/>
              <w:ind w:firstLine="180" w:firstLineChars="100"/>
              <w:jc w:val="left"/>
            </w:pPr>
            <w:r>
              <w:rPr>
                <w:rFonts w:hint="eastAsia" w:hAnsi="宋体"/>
                <w:szCs w:val="18"/>
              </w:rPr>
              <w:t>有明显的幻觉、妄想</w:t>
            </w:r>
          </w:p>
        </w:tc>
        <w:tc>
          <w:tcPr>
            <w:tcW w:w="605" w:type="dxa"/>
          </w:tcPr>
          <w:p w14:paraId="39BDF994">
            <w:pPr>
              <w:pStyle w:val="179"/>
            </w:pPr>
            <w:r>
              <w:rPr>
                <w:rFonts w:hint="eastAsia" w:hAnsi="宋体"/>
                <w:szCs w:val="18"/>
              </w:rPr>
              <w:t>1</w:t>
            </w:r>
          </w:p>
        </w:tc>
        <w:tc>
          <w:tcPr>
            <w:tcW w:w="606" w:type="dxa"/>
            <w:vAlign w:val="center"/>
          </w:tcPr>
          <w:p w14:paraId="481C6A52">
            <w:pPr>
              <w:pStyle w:val="179"/>
            </w:pPr>
          </w:p>
        </w:tc>
        <w:tc>
          <w:tcPr>
            <w:tcW w:w="5820" w:type="dxa"/>
            <w:vAlign w:val="center"/>
          </w:tcPr>
          <w:p w14:paraId="0527B78A">
            <w:pPr>
              <w:pStyle w:val="179"/>
              <w:ind w:firstLine="180" w:firstLineChars="100"/>
              <w:jc w:val="left"/>
            </w:pPr>
            <w:r>
              <w:rPr>
                <w:rFonts w:hint="eastAsia"/>
              </w:rPr>
              <w:t>包括明显的阳性症状，尤其是命令性幻听和妄想等</w:t>
            </w:r>
          </w:p>
        </w:tc>
      </w:tr>
      <w:tr w14:paraId="244969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Pr>
          <w:p w14:paraId="53195127">
            <w:pPr>
              <w:pStyle w:val="179"/>
              <w:ind w:firstLine="180" w:firstLineChars="100"/>
              <w:jc w:val="left"/>
            </w:pPr>
            <w:r>
              <w:rPr>
                <w:rFonts w:hint="eastAsia" w:hAnsi="宋体"/>
                <w:szCs w:val="18"/>
              </w:rPr>
              <w:t>对住院治疗感到恐惧</w:t>
            </w:r>
          </w:p>
        </w:tc>
        <w:tc>
          <w:tcPr>
            <w:tcW w:w="605" w:type="dxa"/>
          </w:tcPr>
          <w:p w14:paraId="0D4B2036">
            <w:pPr>
              <w:pStyle w:val="179"/>
            </w:pPr>
            <w:r>
              <w:rPr>
                <w:rFonts w:hint="eastAsia" w:hAnsi="宋体"/>
                <w:szCs w:val="18"/>
              </w:rPr>
              <w:t>1</w:t>
            </w:r>
          </w:p>
        </w:tc>
        <w:tc>
          <w:tcPr>
            <w:tcW w:w="606" w:type="dxa"/>
            <w:vAlign w:val="center"/>
          </w:tcPr>
          <w:p w14:paraId="161F5F55">
            <w:pPr>
              <w:pStyle w:val="179"/>
            </w:pPr>
          </w:p>
        </w:tc>
        <w:tc>
          <w:tcPr>
            <w:tcW w:w="5820" w:type="dxa"/>
            <w:vAlign w:val="center"/>
          </w:tcPr>
          <w:p w14:paraId="4C98FDB2">
            <w:pPr>
              <w:pStyle w:val="179"/>
              <w:ind w:firstLine="180" w:firstLineChars="100"/>
              <w:jc w:val="left"/>
            </w:pPr>
            <w:r>
              <w:rPr>
                <w:rFonts w:hint="eastAsia"/>
              </w:rPr>
              <w:t>对住院产生紧张、恐惧的情绪，可以是继发于精神症状</w:t>
            </w:r>
          </w:p>
        </w:tc>
      </w:tr>
      <w:tr w14:paraId="37F631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Pr>
          <w:p w14:paraId="2F6FE33C">
            <w:pPr>
              <w:pStyle w:val="179"/>
              <w:ind w:firstLine="180" w:firstLineChars="100"/>
              <w:jc w:val="left"/>
            </w:pPr>
            <w:r>
              <w:rPr>
                <w:rFonts w:hint="eastAsia" w:hAnsi="宋体"/>
                <w:szCs w:val="18"/>
              </w:rPr>
              <w:t>有寻找出走机会的表现</w:t>
            </w:r>
          </w:p>
        </w:tc>
        <w:tc>
          <w:tcPr>
            <w:tcW w:w="605" w:type="dxa"/>
          </w:tcPr>
          <w:p w14:paraId="726D505B">
            <w:pPr>
              <w:pStyle w:val="179"/>
            </w:pPr>
            <w:r>
              <w:rPr>
                <w:rFonts w:hint="eastAsia" w:hAnsi="宋体"/>
                <w:szCs w:val="18"/>
              </w:rPr>
              <w:t>2</w:t>
            </w:r>
          </w:p>
        </w:tc>
        <w:tc>
          <w:tcPr>
            <w:tcW w:w="606" w:type="dxa"/>
            <w:vAlign w:val="center"/>
          </w:tcPr>
          <w:p w14:paraId="66B0B1E9">
            <w:pPr>
              <w:pStyle w:val="179"/>
            </w:pPr>
          </w:p>
        </w:tc>
        <w:tc>
          <w:tcPr>
            <w:tcW w:w="5820" w:type="dxa"/>
            <w:vAlign w:val="center"/>
          </w:tcPr>
          <w:p w14:paraId="23A6256B">
            <w:pPr>
              <w:pStyle w:val="179"/>
              <w:ind w:firstLine="180" w:firstLineChars="100"/>
              <w:jc w:val="left"/>
            </w:pPr>
            <w:r>
              <w:rPr>
                <w:rFonts w:hint="eastAsia"/>
              </w:rPr>
              <w:t>包括有外走企图和计划，存在故意避开家属，研究门窗等行为表现</w:t>
            </w:r>
          </w:p>
        </w:tc>
      </w:tr>
      <w:tr w14:paraId="3ACADA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Pr>
          <w:p w14:paraId="7ACEDA25">
            <w:pPr>
              <w:pStyle w:val="179"/>
            </w:pPr>
            <w:r>
              <w:rPr>
                <w:rFonts w:hint="eastAsia" w:hAnsi="宋体"/>
                <w:szCs w:val="18"/>
              </w:rPr>
              <w:t>总分</w:t>
            </w:r>
          </w:p>
        </w:tc>
        <w:tc>
          <w:tcPr>
            <w:tcW w:w="605" w:type="dxa"/>
          </w:tcPr>
          <w:p w14:paraId="6C93C8F5">
            <w:pPr>
              <w:pStyle w:val="179"/>
            </w:pPr>
            <w:r>
              <w:rPr>
                <w:rFonts w:hint="eastAsia" w:hAnsi="宋体"/>
                <w:szCs w:val="18"/>
              </w:rPr>
              <w:t>12</w:t>
            </w:r>
          </w:p>
        </w:tc>
        <w:tc>
          <w:tcPr>
            <w:tcW w:w="606" w:type="dxa"/>
            <w:vAlign w:val="center"/>
          </w:tcPr>
          <w:p w14:paraId="7C91413B">
            <w:pPr>
              <w:pStyle w:val="179"/>
            </w:pPr>
          </w:p>
        </w:tc>
        <w:tc>
          <w:tcPr>
            <w:tcW w:w="5820" w:type="dxa"/>
            <w:vAlign w:val="center"/>
          </w:tcPr>
          <w:p w14:paraId="6B8079BB">
            <w:pPr>
              <w:pStyle w:val="179"/>
            </w:pPr>
          </w:p>
        </w:tc>
      </w:tr>
      <w:tr w14:paraId="5FB672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tcBorders>
              <w:bottom w:val="single" w:color="auto" w:sz="8" w:space="0"/>
            </w:tcBorders>
            <w:vAlign w:val="center"/>
          </w:tcPr>
          <w:p w14:paraId="1320785E">
            <w:pPr>
              <w:pStyle w:val="179"/>
            </w:pPr>
            <w:r>
              <w:rPr>
                <w:rFonts w:hint="eastAsia"/>
                <w:b/>
                <w:bCs/>
              </w:rPr>
              <w:t xml:space="preserve">评分结果判断： </w:t>
            </w:r>
            <w:r>
              <w:rPr>
                <w:rFonts w:hint="eastAsia"/>
              </w:rPr>
              <w:t xml:space="preserve"> </w:t>
            </w:r>
            <w:r>
              <w:rPr>
                <w:rFonts w:hint="eastAsia"/>
                <w:bCs/>
              </w:rPr>
              <w:t>□</w:t>
            </w:r>
            <w:r>
              <w:rPr>
                <w:rFonts w:hint="eastAsia"/>
              </w:rPr>
              <w:t xml:space="preserve">低度危险（≤2分）    </w:t>
            </w:r>
            <w:r>
              <w:rPr>
                <w:rFonts w:hint="eastAsia"/>
                <w:bCs/>
              </w:rPr>
              <w:t>□</w:t>
            </w:r>
            <w:r>
              <w:rPr>
                <w:rFonts w:hint="eastAsia"/>
              </w:rPr>
              <w:t xml:space="preserve">中度危险（3-4分）   </w:t>
            </w:r>
            <w:r>
              <w:rPr>
                <w:rFonts w:hint="eastAsia"/>
                <w:bCs/>
              </w:rPr>
              <w:t>□</w:t>
            </w:r>
            <w:r>
              <w:rPr>
                <w:rFonts w:hint="eastAsia"/>
              </w:rPr>
              <w:t xml:space="preserve"> 高度危险（≥5分）</w:t>
            </w:r>
          </w:p>
        </w:tc>
      </w:tr>
      <w:tr w14:paraId="27D091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tcBorders>
              <w:top w:val="single" w:color="auto" w:sz="8" w:space="0"/>
              <w:bottom w:val="single" w:color="auto" w:sz="8" w:space="0"/>
            </w:tcBorders>
            <w:vAlign w:val="center"/>
          </w:tcPr>
          <w:p w14:paraId="754D0BF4">
            <w:pPr>
              <w:pStyle w:val="180"/>
            </w:pPr>
            <w:r>
              <w:rPr>
                <w:rFonts w:hint="eastAsia"/>
              </w:rPr>
              <w:t>每个项目出现评定细则情况则得相应赋分，未出现则记0分。</w:t>
            </w:r>
          </w:p>
        </w:tc>
      </w:tr>
    </w:tbl>
    <w:p w14:paraId="075C00F2">
      <w:pPr>
        <w:pStyle w:val="57"/>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p>
    <w:p w14:paraId="6F9CFD9B">
      <w:pPr>
        <w:pStyle w:val="199"/>
        <w:rPr>
          <w:rFonts w:hint="eastAsia"/>
        </w:rPr>
      </w:pPr>
    </w:p>
    <w:p w14:paraId="74BA1E43">
      <w:pPr>
        <w:pStyle w:val="200"/>
      </w:pPr>
    </w:p>
    <w:p w14:paraId="2327F364">
      <w:pPr>
        <w:pStyle w:val="77"/>
        <w:spacing w:after="120"/>
      </w:pPr>
      <w:r>
        <w:br w:type="textWrapping"/>
      </w:r>
      <w:bookmarkStart w:id="178" w:name="_Toc233558361"/>
      <w:bookmarkStart w:id="179" w:name="_Toc233381878"/>
      <w:bookmarkStart w:id="180" w:name="_Toc233573737"/>
      <w:r>
        <w:rPr>
          <w:rFonts w:hint="eastAsia"/>
        </w:rPr>
        <w:t>（资料性）</w:t>
      </w:r>
      <w:r>
        <w:br w:type="textWrapping"/>
      </w:r>
      <w:r>
        <w:rPr>
          <w:rFonts w:hint="eastAsia"/>
        </w:rPr>
        <w:t>住院（陪护）告知书</w:t>
      </w:r>
      <w:bookmarkEnd w:id="178"/>
      <w:bookmarkEnd w:id="179"/>
      <w:bookmarkEnd w:id="180"/>
    </w:p>
    <w:p w14:paraId="4EB11154">
      <w:pPr>
        <w:pStyle w:val="57"/>
        <w:ind w:firstLine="420"/>
      </w:pPr>
      <w:r>
        <w:rPr>
          <w:rFonts w:hint="eastAsia"/>
        </w:rPr>
        <w:t>以下给出了住院（陪护）告知书的示例。</w:t>
      </w:r>
    </w:p>
    <w:p w14:paraId="79F2A0B9">
      <w:pPr>
        <w:pStyle w:val="57"/>
        <w:ind w:firstLine="360"/>
        <w:rPr>
          <w:rFonts w:hint="eastAsia" w:ascii="黑体" w:hAnsi="黑体" w:eastAsia="黑体"/>
          <w:sz w:val="18"/>
          <w:szCs w:val="16"/>
        </w:rPr>
      </w:pPr>
      <w:r>
        <w:rPr>
          <w:rFonts w:hint="eastAsia" w:ascii="黑体" w:hAnsi="黑体" w:eastAsia="黑体"/>
          <w:sz w:val="18"/>
          <w:szCs w:val="16"/>
        </w:rPr>
        <w:t>示例：</w:t>
      </w:r>
    </w:p>
    <w:tbl>
      <w:tblPr>
        <w:tblStyle w:val="28"/>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74"/>
      </w:tblGrid>
      <w:tr w14:paraId="40AC067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570" w:type="dxa"/>
            <w:vAlign w:val="center"/>
          </w:tcPr>
          <w:p w14:paraId="6C0CD7E9">
            <w:pPr>
              <w:pStyle w:val="179"/>
            </w:pPr>
            <w:r>
              <w:rPr>
                <w:rFonts w:hint="eastAsia"/>
              </w:rPr>
              <w:t>住院（陪护）告知书</w:t>
            </w:r>
          </w:p>
          <w:p w14:paraId="43C3E57A">
            <w:pPr>
              <w:pStyle w:val="179"/>
              <w:jc w:val="left"/>
            </w:pPr>
            <w:r>
              <w:rPr>
                <w:rFonts w:hint="eastAsia"/>
              </w:rPr>
              <w:t>尊敬的        患者（家属）：</w:t>
            </w:r>
          </w:p>
          <w:p w14:paraId="4D475F72">
            <w:pPr>
              <w:pStyle w:val="179"/>
              <w:jc w:val="left"/>
            </w:pPr>
            <w:r>
              <w:rPr>
                <w:rFonts w:hint="eastAsia"/>
              </w:rPr>
              <w:t>您好！感谢您选择在xx病区住院治疗，我们全体医护人员将用爱心、热心、诚心为您提供满意的服务。为了使您有一个愉快的住院过程，以下提示是您需要知晓的：</w:t>
            </w:r>
          </w:p>
          <w:p w14:paraId="4625885B">
            <w:pPr>
              <w:pStyle w:val="179"/>
              <w:jc w:val="left"/>
            </w:pPr>
            <w:r>
              <w:rPr>
                <w:rFonts w:hint="eastAsia"/>
              </w:rPr>
              <w:t>1.xx病区为开放式管理病房，选择在我病区住院必须24小时陪护，负责看护病人，协助病人做好生活起居等日常生活料理。</w:t>
            </w:r>
          </w:p>
          <w:p w14:paraId="28ECF323">
            <w:pPr>
              <w:pStyle w:val="179"/>
              <w:jc w:val="left"/>
            </w:pPr>
            <w:r>
              <w:rPr>
                <w:rFonts w:hint="eastAsia"/>
              </w:rPr>
              <w:t>2.住院期间若因陪护人员不尽责任而导致患者出现如病人出走、自杀/自伤等意外，由家属自行承担。若陪护人员有事需要离开病人，必须向医护人员告知，在得到医生准许并签字后方可离开。</w:t>
            </w:r>
          </w:p>
          <w:p w14:paraId="253844A8">
            <w:pPr>
              <w:pStyle w:val="179"/>
              <w:jc w:val="left"/>
            </w:pPr>
            <w:r>
              <w:rPr>
                <w:rFonts w:hint="eastAsia"/>
              </w:rPr>
              <w:t>3.住院期间如更换陪护人员，请与前来陪护的人员做好陪护交接工作，并及时告知你的责任护士或管床护士。</w:t>
            </w:r>
          </w:p>
          <w:p w14:paraId="7AAEAAAF">
            <w:pPr>
              <w:pStyle w:val="179"/>
              <w:jc w:val="left"/>
            </w:pPr>
            <w:r>
              <w:rPr>
                <w:rFonts w:hint="eastAsia"/>
              </w:rPr>
              <w:t>4.为了保证患者的安全和治疗护理，住院期间陪护请勿擅自外出、外宿。因擅自外出导致的一切风险和额外费用由患方承担，如离院超过6小时则视为自动出院。</w:t>
            </w:r>
          </w:p>
          <w:p w14:paraId="19D6EA9F">
            <w:pPr>
              <w:pStyle w:val="179"/>
              <w:jc w:val="left"/>
            </w:pPr>
            <w:r>
              <w:rPr>
                <w:rFonts w:hint="eastAsia"/>
              </w:rPr>
              <w:t>5.我们的发药时间为：中午11时—12时，16时—18时，20时—21时。发药时由护士监督服药，逾时未归请回病房后自行拿水到护士站服药。</w:t>
            </w:r>
          </w:p>
          <w:p w14:paraId="64F390BA">
            <w:pPr>
              <w:pStyle w:val="179"/>
              <w:jc w:val="left"/>
            </w:pPr>
            <w:r>
              <w:rPr>
                <w:rFonts w:hint="eastAsia"/>
              </w:rPr>
              <w:t>6.请您自觉遵守医院规章制度和病房作息时间及探视制度，并保持病房环境整洁与安静。</w:t>
            </w:r>
          </w:p>
          <w:p w14:paraId="6F042DE6">
            <w:pPr>
              <w:pStyle w:val="179"/>
              <w:jc w:val="left"/>
            </w:pPr>
            <w:r>
              <w:rPr>
                <w:rFonts w:hint="eastAsia"/>
              </w:rPr>
              <w:t>7.病房为公共场所，个人财物请自行妥善保管，如遗失医院概不负责。住院期间应爱护公物，不得在病房私自使用电器及燃气，如有损坏需按价赔偿。</w:t>
            </w:r>
          </w:p>
          <w:p w14:paraId="0E61B3D7">
            <w:pPr>
              <w:pStyle w:val="179"/>
              <w:jc w:val="left"/>
            </w:pPr>
            <w:r>
              <w:rPr>
                <w:rFonts w:hint="eastAsia"/>
              </w:rPr>
              <w:t>8.为不影响患者治疗，陪人椅中午12:30，20:30休息时才能打开使用，其余时间收起放置房间指定位置。</w:t>
            </w:r>
          </w:p>
          <w:p w14:paraId="553CE624">
            <w:pPr>
              <w:pStyle w:val="179"/>
              <w:jc w:val="left"/>
            </w:pPr>
            <w:r>
              <w:rPr>
                <w:rFonts w:hint="eastAsia"/>
              </w:rPr>
              <w:t>9.病房每天24小时提供饮用水，洗澡热水供应时间为每日07:00-08:30，17:00-20:00。</w:t>
            </w:r>
          </w:p>
          <w:p w14:paraId="1C55E545">
            <w:pPr>
              <w:pStyle w:val="179"/>
              <w:jc w:val="left"/>
            </w:pPr>
            <w:r>
              <w:rPr>
                <w:rFonts w:hint="eastAsia"/>
              </w:rPr>
              <w:t>10.医院有营养食堂。开餐时间为：早餐 07:30-08:30；中餐：11:00-12:00：晚餐：17:00-18:00，请您在病房扫描床头二维码订餐。饮食指导：原则上菜品不忌口，为了您的健康，请您禁忌饮酒，避免饮浓茶、咖啡。</w:t>
            </w:r>
          </w:p>
          <w:p w14:paraId="26495B04">
            <w:pPr>
              <w:pStyle w:val="179"/>
              <w:jc w:val="left"/>
            </w:pPr>
            <w:r>
              <w:rPr>
                <w:rFonts w:hint="eastAsia"/>
              </w:rPr>
              <w:t>11.未经许可不得进入诊疗场所，不得翻阅病历及其他有关医疗记录。</w:t>
            </w:r>
          </w:p>
          <w:p w14:paraId="67355ED9">
            <w:pPr>
              <w:pStyle w:val="179"/>
              <w:jc w:val="left"/>
            </w:pPr>
            <w:r>
              <w:rPr>
                <w:rFonts w:hint="eastAsia"/>
              </w:rPr>
              <w:t>12.禁止带水果刀、剪刀、玻璃杯、陶瓷碗、药品等危险品进入病房。科室内设有便民服务，备有针线、老花镜、指甲钳、吹风筒、微波炉等，如您需要用请向我们借用。</w:t>
            </w:r>
          </w:p>
          <w:p w14:paraId="0584A618">
            <w:pPr>
              <w:pStyle w:val="179"/>
              <w:jc w:val="left"/>
            </w:pPr>
            <w:r>
              <w:rPr>
                <w:rFonts w:hint="eastAsia"/>
              </w:rPr>
              <w:t>13.为了避免交叉感染，患者不得随意进入其他病房或自行调换床位，不得随意坐、躺在他人的病床。</w:t>
            </w:r>
          </w:p>
          <w:p w14:paraId="4CE4927A">
            <w:pPr>
              <w:pStyle w:val="179"/>
              <w:jc w:val="left"/>
            </w:pPr>
            <w:r>
              <w:rPr>
                <w:rFonts w:hint="eastAsia"/>
              </w:rPr>
              <w:t>14.病区全面禁烟、禁酒，住院期间禁止吸烟、饮酒。</w:t>
            </w:r>
          </w:p>
          <w:p w14:paraId="77D42F27">
            <w:pPr>
              <w:pStyle w:val="179"/>
              <w:jc w:val="left"/>
            </w:pPr>
            <w:r>
              <w:rPr>
                <w:rFonts w:hint="eastAsia"/>
              </w:rPr>
              <w:t>15.禁止向患者及家属代购危险物品，提供烟酒。</w:t>
            </w:r>
          </w:p>
          <w:p w14:paraId="2221ED65">
            <w:pPr>
              <w:pStyle w:val="179"/>
              <w:jc w:val="left"/>
            </w:pPr>
            <w:r>
              <w:rPr>
                <w:rFonts w:hint="eastAsia"/>
              </w:rPr>
              <w:t>16.请尊重个人隐私及遵守法律法规，病房内禁止拍照、录制视频，若私自传播他人照片及视频，一经发现报警处理。</w:t>
            </w:r>
          </w:p>
          <w:p w14:paraId="0A9D09D8">
            <w:pPr>
              <w:pStyle w:val="179"/>
              <w:jc w:val="left"/>
            </w:pPr>
            <w:r>
              <w:rPr>
                <w:rFonts w:hint="eastAsia"/>
              </w:rPr>
              <w:t>17.如果您有需要，请及时联系医务人员或拨打本科室电话：xxx。</w:t>
            </w:r>
          </w:p>
          <w:p w14:paraId="458F6841">
            <w:pPr>
              <w:pStyle w:val="179"/>
              <w:jc w:val="left"/>
            </w:pPr>
            <w:r>
              <w:rPr>
                <w:rFonts w:hint="eastAsia"/>
              </w:rPr>
              <w:t xml:space="preserve">以上内容请仔细阅读后签署（我已阅读、知晓并同意）：                           </w:t>
            </w:r>
          </w:p>
          <w:p w14:paraId="299F55B7">
            <w:pPr>
              <w:pStyle w:val="179"/>
              <w:ind w:firstLine="1080" w:firstLineChars="600"/>
              <w:jc w:val="left"/>
            </w:pPr>
            <w:r>
              <w:rPr>
                <w:rFonts w:hint="eastAsia"/>
              </w:rPr>
              <w:t xml:space="preserve">签字人：                      与患者关系：                            </w:t>
            </w:r>
          </w:p>
          <w:p w14:paraId="60A807A0">
            <w:pPr>
              <w:pStyle w:val="179"/>
              <w:ind w:firstLine="1080" w:firstLineChars="600"/>
              <w:jc w:val="both"/>
            </w:pPr>
            <w:r>
              <w:rPr>
                <w:rFonts w:hint="eastAsia"/>
              </w:rPr>
              <w:t xml:space="preserve">联系电话：                     </w:t>
            </w:r>
          </w:p>
          <w:p w14:paraId="29395D2B">
            <w:pPr>
              <w:pStyle w:val="179"/>
              <w:ind w:firstLine="1080" w:firstLineChars="600"/>
              <w:jc w:val="both"/>
            </w:pPr>
            <w:r>
              <w:rPr>
                <w:rFonts w:hint="eastAsia"/>
              </w:rPr>
              <w:t xml:space="preserve">患者签名：                    </w:t>
            </w:r>
          </w:p>
          <w:p w14:paraId="18B7FE82">
            <w:pPr>
              <w:pStyle w:val="179"/>
              <w:ind w:firstLine="1080" w:firstLineChars="600"/>
              <w:jc w:val="both"/>
            </w:pPr>
            <w:r>
              <w:rPr>
                <w:rFonts w:hint="eastAsia"/>
              </w:rPr>
              <w:t xml:space="preserve">接诊护士签名： </w:t>
            </w:r>
          </w:p>
          <w:p w14:paraId="65AB8A6E">
            <w:pPr>
              <w:pStyle w:val="179"/>
              <w:ind w:firstLine="1080" w:firstLineChars="600"/>
              <w:jc w:val="both"/>
            </w:pPr>
            <w:r>
              <w:rPr>
                <w:rFonts w:hint="eastAsia"/>
              </w:rPr>
              <w:t>日期：    年   月    日</w:t>
            </w:r>
          </w:p>
          <w:p w14:paraId="00EA8990">
            <w:pPr>
              <w:pStyle w:val="179"/>
              <w:ind w:firstLine="1080" w:firstLineChars="600"/>
              <w:jc w:val="both"/>
            </w:pPr>
            <w:r>
              <w:rPr>
                <w:rFonts w:hint="eastAsia"/>
              </w:rPr>
              <w:t>修订日期：xxxx年x月x日</w:t>
            </w:r>
          </w:p>
        </w:tc>
      </w:tr>
      <w:tr w14:paraId="6FF7061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570" w:type="dxa"/>
            <w:vAlign w:val="center"/>
          </w:tcPr>
          <w:p w14:paraId="2281FDEC">
            <w:pPr>
              <w:pStyle w:val="179"/>
              <w:jc w:val="both"/>
            </w:pPr>
          </w:p>
        </w:tc>
      </w:tr>
    </w:tbl>
    <w:p w14:paraId="72B2C6B9">
      <w:pPr>
        <w:pStyle w:val="199"/>
        <w:rPr>
          <w:rFonts w:hint="eastAsia"/>
        </w:rPr>
      </w:pPr>
      <w:r>
        <w:br w:type="page"/>
      </w:r>
    </w:p>
    <w:p w14:paraId="4F7EA3F6">
      <w:pPr>
        <w:pStyle w:val="200"/>
      </w:pPr>
    </w:p>
    <w:p w14:paraId="4864FED7">
      <w:pPr>
        <w:pStyle w:val="77"/>
        <w:spacing w:after="120"/>
      </w:pPr>
      <w:r>
        <w:br w:type="textWrapping"/>
      </w:r>
      <w:bookmarkStart w:id="181" w:name="_Toc233558362"/>
      <w:bookmarkStart w:id="182" w:name="_Toc233381879"/>
      <w:bookmarkStart w:id="183" w:name="_Toc233573738"/>
      <w:r>
        <w:rPr>
          <w:rFonts w:hint="eastAsia"/>
        </w:rPr>
        <w:t>（资料性）</w:t>
      </w:r>
      <w:r>
        <w:br w:type="textWrapping"/>
      </w:r>
      <w:r>
        <w:rPr>
          <w:rFonts w:hint="eastAsia"/>
        </w:rPr>
        <w:t>危险物品告知书</w:t>
      </w:r>
      <w:bookmarkEnd w:id="181"/>
      <w:bookmarkEnd w:id="182"/>
      <w:bookmarkEnd w:id="183"/>
    </w:p>
    <w:p w14:paraId="65915C37">
      <w:pPr>
        <w:pStyle w:val="57"/>
        <w:ind w:firstLine="420"/>
      </w:pPr>
      <w:r>
        <w:rPr>
          <w:rFonts w:hint="eastAsia"/>
        </w:rPr>
        <w:t>以下给出了危险物品告知书的示例。</w:t>
      </w:r>
    </w:p>
    <w:p w14:paraId="148B8938">
      <w:pPr>
        <w:pStyle w:val="57"/>
        <w:ind w:firstLine="360"/>
        <w:rPr>
          <w:rFonts w:hint="eastAsia" w:ascii="黑体" w:hAnsi="黑体" w:eastAsia="黑体"/>
          <w:sz w:val="18"/>
          <w:szCs w:val="16"/>
        </w:rPr>
      </w:pPr>
      <w:r>
        <w:rPr>
          <w:rFonts w:hint="eastAsia" w:ascii="黑体" w:hAnsi="黑体" w:eastAsia="黑体"/>
          <w:sz w:val="18"/>
          <w:szCs w:val="16"/>
        </w:rPr>
        <w:t>示例：</w:t>
      </w:r>
    </w:p>
    <w:tbl>
      <w:tblPr>
        <w:tblStyle w:val="28"/>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74"/>
      </w:tblGrid>
      <w:tr w14:paraId="6CC01CF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570" w:type="dxa"/>
            <w:vAlign w:val="center"/>
          </w:tcPr>
          <w:p w14:paraId="481BD7A6">
            <w:pPr>
              <w:pStyle w:val="179"/>
            </w:pPr>
            <w:r>
              <w:rPr>
                <w:rFonts w:hint="eastAsia"/>
              </w:rPr>
              <w:t>危险物品告知书</w:t>
            </w:r>
          </w:p>
          <w:p w14:paraId="6F2CDEE2">
            <w:pPr>
              <w:pStyle w:val="179"/>
              <w:jc w:val="left"/>
            </w:pPr>
            <w:r>
              <w:rPr>
                <w:rFonts w:hint="eastAsia"/>
              </w:rPr>
              <w:t>尊敬的病友及家属：</w:t>
            </w:r>
          </w:p>
          <w:p w14:paraId="276F6D4D">
            <w:pPr>
              <w:pStyle w:val="179"/>
              <w:jc w:val="left"/>
            </w:pPr>
            <w:r>
              <w:rPr>
                <w:rFonts w:hint="eastAsia"/>
              </w:rPr>
              <w:t>您好！感谢您选择xxx病区住院治疗，以下物品为危险品，存在威胁您和他人生命安全风险，我们特向您告知，并请您妥善处置：</w:t>
            </w:r>
          </w:p>
          <w:p w14:paraId="78C0FDB5">
            <w:pPr>
              <w:pStyle w:val="179"/>
              <w:jc w:val="left"/>
            </w:pPr>
            <w:r>
              <w:rPr>
                <w:rFonts w:hint="eastAsia"/>
              </w:rPr>
              <w:t>放置于病房内需要妥善管理的物品：</w:t>
            </w:r>
          </w:p>
          <w:p w14:paraId="1ED207AF">
            <w:pPr>
              <w:pStyle w:val="179"/>
              <w:jc w:val="left"/>
            </w:pPr>
            <w:r>
              <w:rPr>
                <w:rFonts w:hint="eastAsia"/>
              </w:rPr>
              <w:t>1.洗洁精、洗发水、护发素、沐浴露、香皂、肥皂；</w:t>
            </w:r>
          </w:p>
          <w:p w14:paraId="7A7D9305">
            <w:pPr>
              <w:pStyle w:val="179"/>
              <w:jc w:val="left"/>
            </w:pPr>
            <w:r>
              <w:rPr>
                <w:rFonts w:hint="eastAsia"/>
              </w:rPr>
              <w:t>2.各类护肤品、化妆品；</w:t>
            </w:r>
          </w:p>
          <w:p w14:paraId="3E7E2DD6">
            <w:pPr>
              <w:pStyle w:val="179"/>
              <w:jc w:val="left"/>
            </w:pPr>
            <w:r>
              <w:rPr>
                <w:rFonts w:hint="eastAsia"/>
              </w:rPr>
              <w:t>3.手机、电脑等充电线、数据线。</w:t>
            </w:r>
          </w:p>
          <w:p w14:paraId="09B150E0">
            <w:pPr>
              <w:pStyle w:val="179"/>
              <w:jc w:val="left"/>
            </w:pPr>
            <w:r>
              <w:rPr>
                <w:rFonts w:hint="eastAsia"/>
              </w:rPr>
              <w:t>以上物品在规定时间内使用，使用过程后要妥善保管，使用后及时放置好。</w:t>
            </w:r>
          </w:p>
          <w:p w14:paraId="72784497">
            <w:pPr>
              <w:pStyle w:val="179"/>
              <w:jc w:val="left"/>
            </w:pPr>
            <w:r>
              <w:rPr>
                <w:rFonts w:hint="eastAsia"/>
              </w:rPr>
              <w:t>不得带入病房内物品：</w:t>
            </w:r>
          </w:p>
          <w:p w14:paraId="0AEC3CEF">
            <w:pPr>
              <w:pStyle w:val="179"/>
              <w:jc w:val="left"/>
            </w:pPr>
            <w:r>
              <w:rPr>
                <w:rFonts w:hint="eastAsia"/>
              </w:rPr>
              <w:t>1.剪刀、新老款刮胡刀、修眉刀、美工刀及其他各种刀具；</w:t>
            </w:r>
          </w:p>
          <w:p w14:paraId="23EA5BD7">
            <w:pPr>
              <w:pStyle w:val="179"/>
              <w:jc w:val="left"/>
            </w:pPr>
            <w:r>
              <w:rPr>
                <w:rFonts w:hint="eastAsia"/>
              </w:rPr>
              <w:t>2.玻璃制品、易碎物品、陶瓷品；</w:t>
            </w:r>
          </w:p>
          <w:p w14:paraId="70D217BA">
            <w:pPr>
              <w:pStyle w:val="179"/>
              <w:jc w:val="left"/>
            </w:pPr>
            <w:r>
              <w:rPr>
                <w:rFonts w:hint="eastAsia"/>
              </w:rPr>
              <w:t>3.易拉罐；</w:t>
            </w:r>
          </w:p>
          <w:p w14:paraId="46E5257E">
            <w:pPr>
              <w:pStyle w:val="179"/>
              <w:jc w:val="left"/>
            </w:pPr>
            <w:r>
              <w:rPr>
                <w:rFonts w:hint="eastAsia"/>
              </w:rPr>
              <w:t>4.各种浓度的酒精、酒类；</w:t>
            </w:r>
          </w:p>
          <w:p w14:paraId="5FDC3467">
            <w:pPr>
              <w:pStyle w:val="179"/>
              <w:jc w:val="left"/>
            </w:pPr>
            <w:r>
              <w:rPr>
                <w:rFonts w:hint="eastAsia"/>
              </w:rPr>
              <w:t>5.金属类耳钉、耳环、发夹；</w:t>
            </w:r>
          </w:p>
          <w:p w14:paraId="1DD34742">
            <w:pPr>
              <w:pStyle w:val="179"/>
              <w:jc w:val="left"/>
            </w:pPr>
            <w:r>
              <w:rPr>
                <w:rFonts w:hint="eastAsia"/>
              </w:rPr>
              <w:t>6.打火机、火柴、香烟、电子烟；</w:t>
            </w:r>
          </w:p>
          <w:p w14:paraId="4D6181C6">
            <w:pPr>
              <w:pStyle w:val="179"/>
              <w:jc w:val="left"/>
            </w:pPr>
            <w:r>
              <w:rPr>
                <w:rFonts w:hint="eastAsia"/>
              </w:rPr>
              <w:t>7.各类药品；</w:t>
            </w:r>
          </w:p>
          <w:p w14:paraId="30BC57C1">
            <w:pPr>
              <w:pStyle w:val="179"/>
              <w:jc w:val="left"/>
            </w:pPr>
            <w:r>
              <w:rPr>
                <w:rFonts w:hint="eastAsia"/>
              </w:rPr>
              <w:t>8.各种绳子及针线；</w:t>
            </w:r>
          </w:p>
          <w:p w14:paraId="447F6440">
            <w:pPr>
              <w:pStyle w:val="179"/>
              <w:jc w:val="left"/>
            </w:pPr>
            <w:r>
              <w:rPr>
                <w:rFonts w:hint="eastAsia"/>
              </w:rPr>
              <w:t>9.大功率电器、插排；</w:t>
            </w:r>
          </w:p>
          <w:p w14:paraId="6635BC9F">
            <w:pPr>
              <w:pStyle w:val="179"/>
              <w:jc w:val="left"/>
            </w:pPr>
            <w:r>
              <w:rPr>
                <w:rFonts w:hint="eastAsia"/>
              </w:rPr>
              <w:t>10.皮带；</w:t>
            </w:r>
          </w:p>
          <w:p w14:paraId="369203A4">
            <w:pPr>
              <w:pStyle w:val="179"/>
              <w:jc w:val="left"/>
            </w:pPr>
            <w:r>
              <w:rPr>
                <w:rFonts w:hint="eastAsia"/>
              </w:rPr>
              <w:t>以上物品严禁带入病房，请您主动让家人带走，或交给医护人员保管，出院时再领取。</w:t>
            </w:r>
          </w:p>
          <w:p w14:paraId="1AA2894A">
            <w:pPr>
              <w:pStyle w:val="179"/>
              <w:ind w:firstLine="1440" w:firstLineChars="800"/>
              <w:jc w:val="both"/>
            </w:pPr>
            <w:r>
              <w:rPr>
                <w:rFonts w:hint="eastAsia"/>
              </w:rPr>
              <w:t xml:space="preserve">签字人：                  与患者关系：              </w:t>
            </w:r>
          </w:p>
          <w:p w14:paraId="6879A622">
            <w:pPr>
              <w:pStyle w:val="179"/>
              <w:ind w:firstLine="1440" w:firstLineChars="800"/>
              <w:jc w:val="both"/>
            </w:pPr>
            <w:r>
              <w:rPr>
                <w:rFonts w:hint="eastAsia"/>
              </w:rPr>
              <w:t xml:space="preserve">患者签字：              </w:t>
            </w:r>
          </w:p>
          <w:p w14:paraId="1DE766C8">
            <w:pPr>
              <w:pStyle w:val="179"/>
              <w:ind w:firstLine="1440" w:firstLineChars="800"/>
              <w:jc w:val="both"/>
            </w:pPr>
            <w:r>
              <w:rPr>
                <w:rFonts w:hint="eastAsia"/>
              </w:rPr>
              <w:t xml:space="preserve">接待护士：          </w:t>
            </w:r>
          </w:p>
          <w:p w14:paraId="515EC6DE">
            <w:pPr>
              <w:pStyle w:val="179"/>
              <w:ind w:firstLine="1440" w:firstLineChars="800"/>
              <w:jc w:val="both"/>
            </w:pPr>
            <w:r>
              <w:rPr>
                <w:rFonts w:hint="eastAsia"/>
              </w:rPr>
              <w:t>日期：  年   月  日患者家属/陪护人签名：         联系电话：           时间：</w:t>
            </w:r>
          </w:p>
          <w:p w14:paraId="3C00260A">
            <w:pPr>
              <w:pStyle w:val="179"/>
              <w:ind w:firstLine="1440" w:firstLineChars="800"/>
              <w:jc w:val="both"/>
            </w:pPr>
            <w:r>
              <w:rPr>
                <w:rFonts w:hint="eastAsia"/>
              </w:rPr>
              <w:t>医生签名：                                         时间：</w:t>
            </w:r>
          </w:p>
        </w:tc>
      </w:tr>
    </w:tbl>
    <w:p w14:paraId="2124B0BD">
      <w:pPr>
        <w:pStyle w:val="57"/>
        <w:ind w:firstLine="420"/>
      </w:pPr>
      <w:r>
        <w:br w:type="page"/>
      </w:r>
    </w:p>
    <w:bookmarkEnd w:id="162"/>
    <w:p w14:paraId="179CF756">
      <w:pPr>
        <w:pStyle w:val="77"/>
        <w:spacing w:after="120"/>
      </w:pPr>
      <w:r>
        <w:br w:type="textWrapping"/>
      </w:r>
      <w:bookmarkStart w:id="184" w:name="_Toc233381880"/>
      <w:bookmarkStart w:id="185" w:name="_Toc233558363"/>
      <w:bookmarkStart w:id="186" w:name="_Toc225874526"/>
      <w:bookmarkStart w:id="187" w:name="_Toc233573739"/>
      <w:r>
        <w:rPr>
          <w:rFonts w:hint="eastAsia"/>
        </w:rPr>
        <w:t>（资料性）</w:t>
      </w:r>
      <w:r>
        <w:br w:type="textWrapping"/>
      </w:r>
      <w:r>
        <w:rPr>
          <w:rFonts w:hint="eastAsia"/>
        </w:rPr>
        <w:t>患者外出活动告知书</w:t>
      </w:r>
      <w:bookmarkEnd w:id="184"/>
      <w:bookmarkEnd w:id="185"/>
      <w:bookmarkEnd w:id="186"/>
      <w:bookmarkEnd w:id="187"/>
    </w:p>
    <w:p w14:paraId="7BC96C50">
      <w:pPr>
        <w:pStyle w:val="57"/>
        <w:ind w:firstLine="420"/>
      </w:pPr>
      <w:r>
        <w:rPr>
          <w:rFonts w:hint="eastAsia"/>
        </w:rPr>
        <w:t>以下给出了患者外出活动告知书的示例。</w:t>
      </w:r>
    </w:p>
    <w:p w14:paraId="794D439A">
      <w:pPr>
        <w:pStyle w:val="57"/>
        <w:ind w:firstLine="360"/>
        <w:rPr>
          <w:rFonts w:hint="eastAsia" w:ascii="黑体" w:hAnsi="黑体" w:eastAsia="黑体"/>
          <w:sz w:val="18"/>
          <w:szCs w:val="16"/>
        </w:rPr>
      </w:pPr>
      <w:r>
        <w:rPr>
          <w:rFonts w:hint="eastAsia" w:ascii="黑体" w:hAnsi="黑体" w:eastAsia="黑体"/>
          <w:sz w:val="18"/>
          <w:szCs w:val="16"/>
        </w:rPr>
        <w:t>示例：</w:t>
      </w:r>
    </w:p>
    <w:tbl>
      <w:tblPr>
        <w:tblStyle w:val="28"/>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74"/>
      </w:tblGrid>
      <w:tr w14:paraId="5C4CEE4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570" w:type="dxa"/>
            <w:vAlign w:val="center"/>
          </w:tcPr>
          <w:p w14:paraId="2427659B">
            <w:pPr>
              <w:pStyle w:val="179"/>
            </w:pPr>
            <w:r>
              <w:rPr>
                <w:rFonts w:hint="eastAsia"/>
              </w:rPr>
              <w:t>患者外出活动告知书</w:t>
            </w:r>
          </w:p>
          <w:p w14:paraId="1671AC20">
            <w:pPr>
              <w:pStyle w:val="179"/>
            </w:pPr>
          </w:p>
          <w:p w14:paraId="21E4FFAC">
            <w:pPr>
              <w:pStyle w:val="179"/>
            </w:pPr>
            <w:r>
              <w:rPr>
                <w:rFonts w:hint="eastAsia"/>
              </w:rPr>
              <w:t>患者姓名：                                  住院号：</w:t>
            </w:r>
          </w:p>
          <w:p w14:paraId="69313E3A">
            <w:pPr>
              <w:pStyle w:val="179"/>
              <w:jc w:val="left"/>
            </w:pPr>
            <w:r>
              <w:rPr>
                <w:rFonts w:hint="eastAsia"/>
              </w:rPr>
              <w:t>一、院方声明</w:t>
            </w:r>
          </w:p>
          <w:p w14:paraId="212D219F">
            <w:pPr>
              <w:pStyle w:val="179"/>
              <w:jc w:val="left"/>
            </w:pPr>
            <w:r>
              <w:rPr>
                <w:rFonts w:hint="eastAsia"/>
              </w:rPr>
              <w:t>1.患者外出活动范围仅限于医院内，不得擅自离开医院。为保证能按时完成治疗工作，院方原则上不建议患者在治疗期间离开病房。</w:t>
            </w:r>
          </w:p>
          <w:p w14:paraId="5B6F8F7A">
            <w:pPr>
              <w:pStyle w:val="179"/>
              <w:jc w:val="left"/>
            </w:pPr>
            <w:r>
              <w:rPr>
                <w:rFonts w:hint="eastAsia"/>
              </w:rPr>
              <w:t>2.患者在院内活动期间，有可能发生难以预料及避免的毁物、逃跑、伤人、杀人、自伤、自杀等突发情况，一切后果由患者及其家属/陪护人负责，院方不予承担任何责任。</w:t>
            </w:r>
          </w:p>
          <w:p w14:paraId="61E0166E">
            <w:pPr>
              <w:pStyle w:val="179"/>
              <w:jc w:val="left"/>
            </w:pPr>
            <w:r>
              <w:rPr>
                <w:rFonts w:hint="eastAsia"/>
              </w:rPr>
              <w:t>3.患者在治疗期间可能会出现病情波动，医务人员根据患者的病情做出评估，认为患者不宜外出的，陪护人请勿带领患者外出。</w:t>
            </w:r>
          </w:p>
          <w:p w14:paraId="6CC9755E">
            <w:pPr>
              <w:pStyle w:val="179"/>
              <w:jc w:val="left"/>
            </w:pPr>
            <w:r>
              <w:rPr>
                <w:rFonts w:hint="eastAsia"/>
              </w:rPr>
              <w:t>4.患者不得擅自在外就诊、购药、私自请医师会诊或采取其他医疗手段，由此所产生的所有不良后果，由患者及其家属/陪护人承担，院方不予承担任何责任。</w:t>
            </w:r>
          </w:p>
          <w:p w14:paraId="07A87736">
            <w:pPr>
              <w:pStyle w:val="179"/>
              <w:jc w:val="left"/>
            </w:pPr>
            <w:r>
              <w:rPr>
                <w:rFonts w:hint="eastAsia"/>
              </w:rPr>
              <w:t>5.陪护人要对患者加强监护，避免其携带购买任何危险品及违禁物品，包括但不限于酒精、刀片等。因监管不力导致的一切后果，由患者及其家属/陪护人负责，院方不予承担任何责任。</w:t>
            </w:r>
          </w:p>
          <w:p w14:paraId="64F200FF">
            <w:pPr>
              <w:pStyle w:val="179"/>
              <w:jc w:val="left"/>
            </w:pPr>
            <w:r>
              <w:rPr>
                <w:rFonts w:hint="eastAsia"/>
              </w:rPr>
              <w:t>6.外出活动期间请保持通讯工具通畅，如遇紧急情况，应向本院工作人员求助并致电病房工作人员。</w:t>
            </w:r>
          </w:p>
          <w:p w14:paraId="331D2130">
            <w:pPr>
              <w:pStyle w:val="179"/>
              <w:jc w:val="left"/>
            </w:pPr>
            <w:r>
              <w:rPr>
                <w:rFonts w:hint="eastAsia"/>
              </w:rPr>
              <w:t>7.患者私自到院外活动，所发生的一切后果由患者及家属/陪护人负责。</w:t>
            </w:r>
          </w:p>
          <w:p w14:paraId="7F8EED26">
            <w:pPr>
              <w:pStyle w:val="179"/>
              <w:jc w:val="left"/>
            </w:pPr>
            <w:r>
              <w:rPr>
                <w:rFonts w:hint="eastAsia"/>
              </w:rPr>
              <w:t>8.患者未按规定时间返回科室，经医院工作人员电话联系无果或患者拒不返回的，按自动出院处理。</w:t>
            </w:r>
          </w:p>
          <w:p w14:paraId="292CCC48">
            <w:pPr>
              <w:pStyle w:val="179"/>
              <w:jc w:val="left"/>
            </w:pPr>
            <w:r>
              <w:rPr>
                <w:rFonts w:hint="eastAsia"/>
              </w:rPr>
              <w:t>二、患方声明</w:t>
            </w:r>
          </w:p>
          <w:p w14:paraId="36A5BB33">
            <w:pPr>
              <w:pStyle w:val="179"/>
              <w:jc w:val="left"/>
            </w:pPr>
            <w:r>
              <w:rPr>
                <w:rFonts w:hint="eastAsia"/>
              </w:rPr>
              <w:t>经医师反复解释和强调，已经充分理解和明白患者外出活动可能发生的不良后果，仍要求外出，外出活动所发生的不良后果由患者及其家属/陪护人承担，与医院无关。</w:t>
            </w:r>
          </w:p>
          <w:p w14:paraId="0F0B7397">
            <w:pPr>
              <w:pStyle w:val="179"/>
              <w:jc w:val="left"/>
            </w:pPr>
            <w:r>
              <w:rPr>
                <w:rFonts w:hint="eastAsia"/>
              </w:rPr>
              <w:t>家属/陪护人在签字栏签名表示完全理解医患双方的声明并承担相应的后果。（请手写：我已完全理解以上内容并承担相应的后果及责任）</w:t>
            </w:r>
          </w:p>
          <w:p w14:paraId="455E1616">
            <w:pPr>
              <w:pStyle w:val="179"/>
            </w:pPr>
          </w:p>
          <w:p w14:paraId="4582269B">
            <w:pPr>
              <w:pStyle w:val="179"/>
            </w:pPr>
            <w:r>
              <w:rPr>
                <w:rFonts w:hint="eastAsia"/>
              </w:rPr>
              <w:t>患者签名：                                         时间：</w:t>
            </w:r>
          </w:p>
          <w:p w14:paraId="2D0FCF44">
            <w:pPr>
              <w:pStyle w:val="179"/>
            </w:pPr>
            <w:r>
              <w:rPr>
                <w:rFonts w:hint="eastAsia"/>
              </w:rPr>
              <w:t>患者家属/陪护人签名：         联系电话：           时间：</w:t>
            </w:r>
          </w:p>
          <w:p w14:paraId="528F3E11">
            <w:pPr>
              <w:pStyle w:val="179"/>
            </w:pPr>
            <w:r>
              <w:rPr>
                <w:rFonts w:hint="eastAsia"/>
              </w:rPr>
              <w:t>医生签名：                                         时间：</w:t>
            </w:r>
          </w:p>
        </w:tc>
      </w:tr>
    </w:tbl>
    <w:p w14:paraId="0E5D6340">
      <w:pPr>
        <w:pStyle w:val="57"/>
        <w:ind w:firstLine="420"/>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pPr>
    </w:p>
    <w:p w14:paraId="2FB538BC">
      <w:pPr>
        <w:pStyle w:val="199"/>
        <w:rPr>
          <w:rFonts w:hint="eastAsia"/>
        </w:rPr>
      </w:pPr>
    </w:p>
    <w:p w14:paraId="564E5DC3">
      <w:pPr>
        <w:pStyle w:val="200"/>
      </w:pPr>
    </w:p>
    <w:p w14:paraId="176FD709">
      <w:pPr>
        <w:pStyle w:val="77"/>
        <w:spacing w:after="120"/>
      </w:pPr>
      <w:r>
        <w:br w:type="textWrapping"/>
      </w:r>
      <w:bookmarkStart w:id="188" w:name="_Toc225874527"/>
      <w:bookmarkStart w:id="189" w:name="_Toc233558364"/>
      <w:bookmarkStart w:id="190" w:name="_Toc233381881"/>
      <w:bookmarkStart w:id="191" w:name="_Toc233573740"/>
      <w:r>
        <w:rPr>
          <w:rFonts w:hint="eastAsia"/>
        </w:rPr>
        <w:t>（资料性）</w:t>
      </w:r>
      <w:r>
        <w:br w:type="textWrapping"/>
      </w:r>
      <w:r>
        <w:rPr>
          <w:rFonts w:hint="eastAsia"/>
        </w:rPr>
        <w:t>开放式病房人员外出登记表</w:t>
      </w:r>
      <w:bookmarkEnd w:id="188"/>
      <w:bookmarkEnd w:id="189"/>
      <w:bookmarkEnd w:id="190"/>
      <w:bookmarkEnd w:id="191"/>
    </w:p>
    <w:p w14:paraId="38993BE7">
      <w:pPr>
        <w:pStyle w:val="57"/>
        <w:ind w:firstLine="420"/>
      </w:pPr>
      <w:r>
        <w:rPr>
          <w:rFonts w:hint="eastAsia"/>
        </w:rPr>
        <w:t>开放式病房人员外出登记表见表G.1。</w:t>
      </w:r>
    </w:p>
    <w:p w14:paraId="699BD945">
      <w:pPr>
        <w:pStyle w:val="232"/>
        <w:widowControl/>
        <w:numPr>
          <w:ilvl w:val="0"/>
          <w:numId w:val="5"/>
        </w:numPr>
        <w:autoSpaceDE w:val="0"/>
        <w:autoSpaceDN w:val="0"/>
        <w:adjustRightInd/>
        <w:spacing w:line="14" w:lineRule="exact"/>
        <w:ind w:firstLine="0" w:firstLineChars="0"/>
        <w:jc w:val="center"/>
        <w:rPr>
          <w:rFonts w:ascii="宋体" w:hAnsi="Times New Roman" w:eastAsia="黑体"/>
          <w:vanish/>
          <w:kern w:val="0"/>
          <w:sz w:val="2"/>
          <w:szCs w:val="20"/>
        </w:rPr>
      </w:pPr>
    </w:p>
    <w:p w14:paraId="1AEB096E">
      <w:pPr>
        <w:pStyle w:val="78"/>
        <w:spacing w:before="120" w:after="120"/>
      </w:pPr>
      <w:r>
        <w:rPr>
          <w:rFonts w:hint="eastAsia"/>
        </w:rPr>
        <w:t xml:space="preserve"> 开放式病房人员外出登记表</w:t>
      </w:r>
    </w:p>
    <w:p w14:paraId="45D580E0">
      <w:pPr>
        <w:pStyle w:val="57"/>
        <w:ind w:firstLine="360"/>
        <w:rPr>
          <w:color w:val="000000"/>
          <w:sz w:val="18"/>
        </w:rPr>
      </w:pPr>
      <w:r>
        <w:rPr>
          <w:rFonts w:hint="eastAsia"/>
          <w:color w:val="000000"/>
          <w:sz w:val="18"/>
        </w:rPr>
        <w:t>科室名称：</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77"/>
        <w:gridCol w:w="709"/>
        <w:gridCol w:w="851"/>
        <w:gridCol w:w="992"/>
        <w:gridCol w:w="1276"/>
        <w:gridCol w:w="1230"/>
        <w:gridCol w:w="940"/>
        <w:gridCol w:w="806"/>
        <w:gridCol w:w="851"/>
        <w:gridCol w:w="1142"/>
      </w:tblGrid>
      <w:tr w14:paraId="6BD6D2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77" w:type="dxa"/>
            <w:tcBorders>
              <w:top w:val="single" w:color="auto" w:sz="8" w:space="0"/>
              <w:bottom w:val="single" w:color="auto" w:sz="8" w:space="0"/>
            </w:tcBorders>
            <w:vAlign w:val="center"/>
          </w:tcPr>
          <w:p w14:paraId="2ABDE8E5">
            <w:pPr>
              <w:pStyle w:val="179"/>
            </w:pPr>
            <w:r>
              <w:rPr>
                <w:rFonts w:hint="eastAsia"/>
                <w:color w:val="000000"/>
              </w:rPr>
              <w:t>日期</w:t>
            </w:r>
          </w:p>
        </w:tc>
        <w:tc>
          <w:tcPr>
            <w:tcW w:w="709" w:type="dxa"/>
            <w:tcBorders>
              <w:top w:val="single" w:color="auto" w:sz="8" w:space="0"/>
              <w:bottom w:val="single" w:color="auto" w:sz="8" w:space="0"/>
            </w:tcBorders>
            <w:vAlign w:val="center"/>
          </w:tcPr>
          <w:p w14:paraId="529C52A9">
            <w:pPr>
              <w:pStyle w:val="179"/>
            </w:pPr>
            <w:r>
              <w:rPr>
                <w:rFonts w:hint="eastAsia"/>
                <w:color w:val="000000"/>
              </w:rPr>
              <w:t>床号</w:t>
            </w:r>
          </w:p>
        </w:tc>
        <w:tc>
          <w:tcPr>
            <w:tcW w:w="851" w:type="dxa"/>
            <w:tcBorders>
              <w:top w:val="single" w:color="auto" w:sz="8" w:space="0"/>
              <w:bottom w:val="single" w:color="auto" w:sz="8" w:space="0"/>
            </w:tcBorders>
            <w:vAlign w:val="center"/>
          </w:tcPr>
          <w:p w14:paraId="521C0372">
            <w:pPr>
              <w:pStyle w:val="179"/>
            </w:pPr>
            <w:r>
              <w:rPr>
                <w:rFonts w:hint="eastAsia"/>
                <w:color w:val="000000"/>
              </w:rPr>
              <w:t>患者姓名</w:t>
            </w:r>
          </w:p>
        </w:tc>
        <w:tc>
          <w:tcPr>
            <w:tcW w:w="992" w:type="dxa"/>
            <w:tcBorders>
              <w:top w:val="single" w:color="auto" w:sz="8" w:space="0"/>
              <w:bottom w:val="single" w:color="auto" w:sz="8" w:space="0"/>
            </w:tcBorders>
            <w:vAlign w:val="center"/>
          </w:tcPr>
          <w:p w14:paraId="17BD1564">
            <w:pPr>
              <w:pStyle w:val="179"/>
            </w:pPr>
            <w:r>
              <w:rPr>
                <w:rFonts w:hint="eastAsia"/>
                <w:color w:val="000000"/>
              </w:rPr>
              <w:t>外出时间</w:t>
            </w:r>
          </w:p>
        </w:tc>
        <w:tc>
          <w:tcPr>
            <w:tcW w:w="1276" w:type="dxa"/>
            <w:tcBorders>
              <w:top w:val="single" w:color="auto" w:sz="8" w:space="0"/>
              <w:bottom w:val="single" w:color="auto" w:sz="8" w:space="0"/>
            </w:tcBorders>
            <w:vAlign w:val="center"/>
          </w:tcPr>
          <w:p w14:paraId="4BEA6329">
            <w:pPr>
              <w:pStyle w:val="179"/>
            </w:pPr>
            <w:r>
              <w:rPr>
                <w:rFonts w:hint="eastAsia"/>
                <w:color w:val="000000"/>
              </w:rPr>
              <w:t>预计返科时间</w:t>
            </w:r>
          </w:p>
        </w:tc>
        <w:tc>
          <w:tcPr>
            <w:tcW w:w="1230" w:type="dxa"/>
            <w:tcBorders>
              <w:top w:val="single" w:color="auto" w:sz="8" w:space="0"/>
              <w:bottom w:val="single" w:color="auto" w:sz="8" w:space="0"/>
            </w:tcBorders>
            <w:vAlign w:val="center"/>
          </w:tcPr>
          <w:p w14:paraId="79EB00D2">
            <w:pPr>
              <w:pStyle w:val="179"/>
            </w:pPr>
            <w:r>
              <w:rPr>
                <w:rFonts w:hint="eastAsia"/>
                <w:color w:val="000000"/>
              </w:rPr>
              <w:t>家属或陪护人签字</w:t>
            </w:r>
          </w:p>
        </w:tc>
        <w:tc>
          <w:tcPr>
            <w:tcW w:w="940" w:type="dxa"/>
            <w:tcBorders>
              <w:top w:val="single" w:color="auto" w:sz="8" w:space="0"/>
              <w:bottom w:val="single" w:color="auto" w:sz="8" w:space="0"/>
            </w:tcBorders>
            <w:vAlign w:val="center"/>
          </w:tcPr>
          <w:p w14:paraId="478B6BD4">
            <w:pPr>
              <w:pStyle w:val="179"/>
            </w:pPr>
            <w:r>
              <w:rPr>
                <w:rFonts w:hint="eastAsia"/>
                <w:color w:val="000000"/>
              </w:rPr>
              <w:t>联系电话</w:t>
            </w:r>
          </w:p>
        </w:tc>
        <w:tc>
          <w:tcPr>
            <w:tcW w:w="806" w:type="dxa"/>
            <w:tcBorders>
              <w:top w:val="single" w:color="auto" w:sz="8" w:space="0"/>
              <w:bottom w:val="single" w:color="auto" w:sz="8" w:space="0"/>
            </w:tcBorders>
            <w:vAlign w:val="center"/>
          </w:tcPr>
          <w:p w14:paraId="4AB48173">
            <w:pPr>
              <w:pStyle w:val="179"/>
            </w:pPr>
            <w:r>
              <w:rPr>
                <w:rFonts w:hint="eastAsia"/>
                <w:color w:val="000000"/>
                <w:szCs w:val="22"/>
              </w:rPr>
              <w:t>医护人员签字</w:t>
            </w:r>
          </w:p>
        </w:tc>
        <w:tc>
          <w:tcPr>
            <w:tcW w:w="851" w:type="dxa"/>
            <w:tcBorders>
              <w:top w:val="single" w:color="auto" w:sz="8" w:space="0"/>
              <w:bottom w:val="single" w:color="auto" w:sz="8" w:space="0"/>
            </w:tcBorders>
            <w:vAlign w:val="center"/>
          </w:tcPr>
          <w:p w14:paraId="09D70607">
            <w:pPr>
              <w:pStyle w:val="179"/>
            </w:pPr>
            <w:r>
              <w:rPr>
                <w:rFonts w:hint="eastAsia"/>
                <w:color w:val="000000"/>
                <w:szCs w:val="22"/>
              </w:rPr>
              <w:t>电话查房时间</w:t>
            </w:r>
          </w:p>
        </w:tc>
        <w:tc>
          <w:tcPr>
            <w:tcW w:w="1142" w:type="dxa"/>
            <w:tcBorders>
              <w:top w:val="single" w:color="auto" w:sz="8" w:space="0"/>
              <w:bottom w:val="single" w:color="auto" w:sz="8" w:space="0"/>
            </w:tcBorders>
            <w:vAlign w:val="center"/>
          </w:tcPr>
          <w:p w14:paraId="190EE794">
            <w:pPr>
              <w:pStyle w:val="179"/>
              <w:rPr>
                <w:color w:val="000000"/>
                <w:szCs w:val="22"/>
              </w:rPr>
            </w:pPr>
            <w:r>
              <w:rPr>
                <w:rFonts w:hint="eastAsia"/>
                <w:color w:val="000000"/>
                <w:szCs w:val="22"/>
              </w:rPr>
              <w:t>返回时间</w:t>
            </w:r>
          </w:p>
        </w:tc>
      </w:tr>
      <w:tr w14:paraId="4A741E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tcBorders>
              <w:top w:val="single" w:color="auto" w:sz="8" w:space="0"/>
            </w:tcBorders>
            <w:vAlign w:val="center"/>
          </w:tcPr>
          <w:p w14:paraId="2B5A8D34">
            <w:pPr>
              <w:pStyle w:val="179"/>
            </w:pPr>
          </w:p>
        </w:tc>
        <w:tc>
          <w:tcPr>
            <w:tcW w:w="709" w:type="dxa"/>
            <w:tcBorders>
              <w:top w:val="single" w:color="auto" w:sz="8" w:space="0"/>
            </w:tcBorders>
            <w:vAlign w:val="center"/>
          </w:tcPr>
          <w:p w14:paraId="4BE7D856">
            <w:pPr>
              <w:pStyle w:val="179"/>
            </w:pPr>
          </w:p>
        </w:tc>
        <w:tc>
          <w:tcPr>
            <w:tcW w:w="851" w:type="dxa"/>
            <w:tcBorders>
              <w:top w:val="single" w:color="auto" w:sz="8" w:space="0"/>
            </w:tcBorders>
            <w:vAlign w:val="center"/>
          </w:tcPr>
          <w:p w14:paraId="186329EB">
            <w:pPr>
              <w:pStyle w:val="179"/>
            </w:pPr>
          </w:p>
        </w:tc>
        <w:tc>
          <w:tcPr>
            <w:tcW w:w="992" w:type="dxa"/>
            <w:tcBorders>
              <w:top w:val="single" w:color="auto" w:sz="8" w:space="0"/>
            </w:tcBorders>
            <w:vAlign w:val="center"/>
          </w:tcPr>
          <w:p w14:paraId="2F4BEB92">
            <w:pPr>
              <w:pStyle w:val="179"/>
            </w:pPr>
          </w:p>
        </w:tc>
        <w:tc>
          <w:tcPr>
            <w:tcW w:w="1276" w:type="dxa"/>
            <w:tcBorders>
              <w:top w:val="single" w:color="auto" w:sz="8" w:space="0"/>
            </w:tcBorders>
            <w:vAlign w:val="center"/>
          </w:tcPr>
          <w:p w14:paraId="0E9919A8">
            <w:pPr>
              <w:pStyle w:val="179"/>
            </w:pPr>
          </w:p>
        </w:tc>
        <w:tc>
          <w:tcPr>
            <w:tcW w:w="1230" w:type="dxa"/>
            <w:tcBorders>
              <w:top w:val="single" w:color="auto" w:sz="8" w:space="0"/>
            </w:tcBorders>
            <w:vAlign w:val="center"/>
          </w:tcPr>
          <w:p w14:paraId="2279FECD">
            <w:pPr>
              <w:pStyle w:val="179"/>
            </w:pPr>
          </w:p>
        </w:tc>
        <w:tc>
          <w:tcPr>
            <w:tcW w:w="940" w:type="dxa"/>
            <w:tcBorders>
              <w:top w:val="single" w:color="auto" w:sz="8" w:space="0"/>
            </w:tcBorders>
            <w:vAlign w:val="center"/>
          </w:tcPr>
          <w:p w14:paraId="3D30BDDD">
            <w:pPr>
              <w:pStyle w:val="179"/>
            </w:pPr>
          </w:p>
        </w:tc>
        <w:tc>
          <w:tcPr>
            <w:tcW w:w="806" w:type="dxa"/>
            <w:tcBorders>
              <w:top w:val="single" w:color="auto" w:sz="8" w:space="0"/>
            </w:tcBorders>
            <w:vAlign w:val="center"/>
          </w:tcPr>
          <w:p w14:paraId="11F09464">
            <w:pPr>
              <w:pStyle w:val="179"/>
            </w:pPr>
          </w:p>
        </w:tc>
        <w:tc>
          <w:tcPr>
            <w:tcW w:w="851" w:type="dxa"/>
            <w:tcBorders>
              <w:top w:val="single" w:color="auto" w:sz="8" w:space="0"/>
            </w:tcBorders>
            <w:vAlign w:val="center"/>
          </w:tcPr>
          <w:p w14:paraId="55797048">
            <w:pPr>
              <w:pStyle w:val="179"/>
            </w:pPr>
          </w:p>
        </w:tc>
        <w:tc>
          <w:tcPr>
            <w:tcW w:w="1142" w:type="dxa"/>
            <w:tcBorders>
              <w:top w:val="single" w:color="auto" w:sz="8" w:space="0"/>
            </w:tcBorders>
            <w:vAlign w:val="center"/>
          </w:tcPr>
          <w:p w14:paraId="2ED55D96">
            <w:pPr>
              <w:pStyle w:val="179"/>
            </w:pPr>
          </w:p>
        </w:tc>
      </w:tr>
      <w:tr w14:paraId="1530D2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63CCB517">
            <w:pPr>
              <w:pStyle w:val="179"/>
            </w:pPr>
          </w:p>
        </w:tc>
        <w:tc>
          <w:tcPr>
            <w:tcW w:w="709" w:type="dxa"/>
            <w:vAlign w:val="center"/>
          </w:tcPr>
          <w:p w14:paraId="3F4C3189">
            <w:pPr>
              <w:pStyle w:val="179"/>
            </w:pPr>
          </w:p>
        </w:tc>
        <w:tc>
          <w:tcPr>
            <w:tcW w:w="851" w:type="dxa"/>
            <w:vAlign w:val="center"/>
          </w:tcPr>
          <w:p w14:paraId="69152A1C">
            <w:pPr>
              <w:pStyle w:val="179"/>
            </w:pPr>
          </w:p>
        </w:tc>
        <w:tc>
          <w:tcPr>
            <w:tcW w:w="992" w:type="dxa"/>
            <w:vAlign w:val="center"/>
          </w:tcPr>
          <w:p w14:paraId="6BFD701A">
            <w:pPr>
              <w:pStyle w:val="179"/>
            </w:pPr>
          </w:p>
        </w:tc>
        <w:tc>
          <w:tcPr>
            <w:tcW w:w="1276" w:type="dxa"/>
            <w:vAlign w:val="center"/>
          </w:tcPr>
          <w:p w14:paraId="74C27FEA">
            <w:pPr>
              <w:pStyle w:val="179"/>
            </w:pPr>
          </w:p>
        </w:tc>
        <w:tc>
          <w:tcPr>
            <w:tcW w:w="1230" w:type="dxa"/>
            <w:vAlign w:val="center"/>
          </w:tcPr>
          <w:p w14:paraId="64B2388E">
            <w:pPr>
              <w:pStyle w:val="179"/>
            </w:pPr>
          </w:p>
        </w:tc>
        <w:tc>
          <w:tcPr>
            <w:tcW w:w="940" w:type="dxa"/>
            <w:vAlign w:val="center"/>
          </w:tcPr>
          <w:p w14:paraId="243085DD">
            <w:pPr>
              <w:pStyle w:val="179"/>
            </w:pPr>
          </w:p>
        </w:tc>
        <w:tc>
          <w:tcPr>
            <w:tcW w:w="806" w:type="dxa"/>
            <w:vAlign w:val="center"/>
          </w:tcPr>
          <w:p w14:paraId="748C46CC">
            <w:pPr>
              <w:pStyle w:val="179"/>
            </w:pPr>
          </w:p>
        </w:tc>
        <w:tc>
          <w:tcPr>
            <w:tcW w:w="851" w:type="dxa"/>
            <w:vAlign w:val="center"/>
          </w:tcPr>
          <w:p w14:paraId="4485064E">
            <w:pPr>
              <w:pStyle w:val="179"/>
            </w:pPr>
          </w:p>
        </w:tc>
        <w:tc>
          <w:tcPr>
            <w:tcW w:w="1142" w:type="dxa"/>
            <w:vAlign w:val="center"/>
          </w:tcPr>
          <w:p w14:paraId="3E4FC477">
            <w:pPr>
              <w:pStyle w:val="179"/>
            </w:pPr>
          </w:p>
        </w:tc>
      </w:tr>
      <w:tr w14:paraId="6A7E47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0D143747">
            <w:pPr>
              <w:pStyle w:val="179"/>
            </w:pPr>
          </w:p>
        </w:tc>
        <w:tc>
          <w:tcPr>
            <w:tcW w:w="709" w:type="dxa"/>
            <w:vAlign w:val="center"/>
          </w:tcPr>
          <w:p w14:paraId="5B995DBB">
            <w:pPr>
              <w:pStyle w:val="179"/>
            </w:pPr>
          </w:p>
        </w:tc>
        <w:tc>
          <w:tcPr>
            <w:tcW w:w="851" w:type="dxa"/>
            <w:vAlign w:val="center"/>
          </w:tcPr>
          <w:p w14:paraId="25ADBEF4">
            <w:pPr>
              <w:pStyle w:val="179"/>
            </w:pPr>
          </w:p>
        </w:tc>
        <w:tc>
          <w:tcPr>
            <w:tcW w:w="992" w:type="dxa"/>
            <w:vAlign w:val="center"/>
          </w:tcPr>
          <w:p w14:paraId="15835F53">
            <w:pPr>
              <w:pStyle w:val="179"/>
            </w:pPr>
          </w:p>
        </w:tc>
        <w:tc>
          <w:tcPr>
            <w:tcW w:w="1276" w:type="dxa"/>
            <w:vAlign w:val="center"/>
          </w:tcPr>
          <w:p w14:paraId="6BECADF8">
            <w:pPr>
              <w:pStyle w:val="179"/>
            </w:pPr>
          </w:p>
        </w:tc>
        <w:tc>
          <w:tcPr>
            <w:tcW w:w="1230" w:type="dxa"/>
            <w:vAlign w:val="center"/>
          </w:tcPr>
          <w:p w14:paraId="71DAF37C">
            <w:pPr>
              <w:pStyle w:val="179"/>
            </w:pPr>
          </w:p>
        </w:tc>
        <w:tc>
          <w:tcPr>
            <w:tcW w:w="940" w:type="dxa"/>
            <w:vAlign w:val="center"/>
          </w:tcPr>
          <w:p w14:paraId="77BBC791">
            <w:pPr>
              <w:pStyle w:val="179"/>
            </w:pPr>
          </w:p>
        </w:tc>
        <w:tc>
          <w:tcPr>
            <w:tcW w:w="806" w:type="dxa"/>
            <w:vAlign w:val="center"/>
          </w:tcPr>
          <w:p w14:paraId="79E3F8B0">
            <w:pPr>
              <w:pStyle w:val="179"/>
            </w:pPr>
          </w:p>
        </w:tc>
        <w:tc>
          <w:tcPr>
            <w:tcW w:w="851" w:type="dxa"/>
            <w:vAlign w:val="center"/>
          </w:tcPr>
          <w:p w14:paraId="39C8713F">
            <w:pPr>
              <w:pStyle w:val="179"/>
            </w:pPr>
          </w:p>
        </w:tc>
        <w:tc>
          <w:tcPr>
            <w:tcW w:w="1142" w:type="dxa"/>
            <w:vAlign w:val="center"/>
          </w:tcPr>
          <w:p w14:paraId="59AD5AB9">
            <w:pPr>
              <w:pStyle w:val="179"/>
            </w:pPr>
          </w:p>
        </w:tc>
      </w:tr>
      <w:tr w14:paraId="744325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09794B8B">
            <w:pPr>
              <w:pStyle w:val="179"/>
            </w:pPr>
          </w:p>
        </w:tc>
        <w:tc>
          <w:tcPr>
            <w:tcW w:w="709" w:type="dxa"/>
            <w:vAlign w:val="center"/>
          </w:tcPr>
          <w:p w14:paraId="0D53CA59">
            <w:pPr>
              <w:pStyle w:val="179"/>
            </w:pPr>
          </w:p>
        </w:tc>
        <w:tc>
          <w:tcPr>
            <w:tcW w:w="851" w:type="dxa"/>
            <w:vAlign w:val="center"/>
          </w:tcPr>
          <w:p w14:paraId="62866A4F">
            <w:pPr>
              <w:pStyle w:val="179"/>
            </w:pPr>
          </w:p>
        </w:tc>
        <w:tc>
          <w:tcPr>
            <w:tcW w:w="992" w:type="dxa"/>
            <w:vAlign w:val="center"/>
          </w:tcPr>
          <w:p w14:paraId="59A93875">
            <w:pPr>
              <w:pStyle w:val="179"/>
            </w:pPr>
          </w:p>
        </w:tc>
        <w:tc>
          <w:tcPr>
            <w:tcW w:w="1276" w:type="dxa"/>
            <w:vAlign w:val="center"/>
          </w:tcPr>
          <w:p w14:paraId="4BE7BF96">
            <w:pPr>
              <w:pStyle w:val="179"/>
            </w:pPr>
          </w:p>
        </w:tc>
        <w:tc>
          <w:tcPr>
            <w:tcW w:w="1230" w:type="dxa"/>
            <w:vAlign w:val="center"/>
          </w:tcPr>
          <w:p w14:paraId="14ADCA97">
            <w:pPr>
              <w:pStyle w:val="179"/>
            </w:pPr>
          </w:p>
        </w:tc>
        <w:tc>
          <w:tcPr>
            <w:tcW w:w="940" w:type="dxa"/>
            <w:vAlign w:val="center"/>
          </w:tcPr>
          <w:p w14:paraId="6A41C850">
            <w:pPr>
              <w:pStyle w:val="179"/>
            </w:pPr>
          </w:p>
        </w:tc>
        <w:tc>
          <w:tcPr>
            <w:tcW w:w="806" w:type="dxa"/>
            <w:vAlign w:val="center"/>
          </w:tcPr>
          <w:p w14:paraId="78AE8D82">
            <w:pPr>
              <w:pStyle w:val="179"/>
            </w:pPr>
          </w:p>
        </w:tc>
        <w:tc>
          <w:tcPr>
            <w:tcW w:w="851" w:type="dxa"/>
            <w:vAlign w:val="center"/>
          </w:tcPr>
          <w:p w14:paraId="5B77BC5F">
            <w:pPr>
              <w:pStyle w:val="179"/>
            </w:pPr>
          </w:p>
        </w:tc>
        <w:tc>
          <w:tcPr>
            <w:tcW w:w="1142" w:type="dxa"/>
            <w:vAlign w:val="center"/>
          </w:tcPr>
          <w:p w14:paraId="1B826400">
            <w:pPr>
              <w:pStyle w:val="179"/>
            </w:pPr>
          </w:p>
        </w:tc>
      </w:tr>
      <w:tr w14:paraId="0001C2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4F035122">
            <w:pPr>
              <w:pStyle w:val="179"/>
            </w:pPr>
          </w:p>
        </w:tc>
        <w:tc>
          <w:tcPr>
            <w:tcW w:w="709" w:type="dxa"/>
            <w:vAlign w:val="center"/>
          </w:tcPr>
          <w:p w14:paraId="4D4C5BE5">
            <w:pPr>
              <w:pStyle w:val="179"/>
            </w:pPr>
          </w:p>
        </w:tc>
        <w:tc>
          <w:tcPr>
            <w:tcW w:w="851" w:type="dxa"/>
            <w:vAlign w:val="center"/>
          </w:tcPr>
          <w:p w14:paraId="056E322B">
            <w:pPr>
              <w:pStyle w:val="179"/>
            </w:pPr>
          </w:p>
        </w:tc>
        <w:tc>
          <w:tcPr>
            <w:tcW w:w="992" w:type="dxa"/>
            <w:vAlign w:val="center"/>
          </w:tcPr>
          <w:p w14:paraId="6F874428">
            <w:pPr>
              <w:pStyle w:val="179"/>
            </w:pPr>
          </w:p>
        </w:tc>
        <w:tc>
          <w:tcPr>
            <w:tcW w:w="1276" w:type="dxa"/>
            <w:vAlign w:val="center"/>
          </w:tcPr>
          <w:p w14:paraId="334E96A3">
            <w:pPr>
              <w:pStyle w:val="179"/>
            </w:pPr>
          </w:p>
        </w:tc>
        <w:tc>
          <w:tcPr>
            <w:tcW w:w="1230" w:type="dxa"/>
            <w:vAlign w:val="center"/>
          </w:tcPr>
          <w:p w14:paraId="68F5B877">
            <w:pPr>
              <w:pStyle w:val="179"/>
            </w:pPr>
          </w:p>
        </w:tc>
        <w:tc>
          <w:tcPr>
            <w:tcW w:w="940" w:type="dxa"/>
            <w:vAlign w:val="center"/>
          </w:tcPr>
          <w:p w14:paraId="35B2917C">
            <w:pPr>
              <w:pStyle w:val="179"/>
            </w:pPr>
          </w:p>
        </w:tc>
        <w:tc>
          <w:tcPr>
            <w:tcW w:w="806" w:type="dxa"/>
            <w:vAlign w:val="center"/>
          </w:tcPr>
          <w:p w14:paraId="1E841D3D">
            <w:pPr>
              <w:pStyle w:val="179"/>
            </w:pPr>
          </w:p>
        </w:tc>
        <w:tc>
          <w:tcPr>
            <w:tcW w:w="851" w:type="dxa"/>
            <w:vAlign w:val="center"/>
          </w:tcPr>
          <w:p w14:paraId="4D6262CF">
            <w:pPr>
              <w:pStyle w:val="179"/>
            </w:pPr>
          </w:p>
        </w:tc>
        <w:tc>
          <w:tcPr>
            <w:tcW w:w="1142" w:type="dxa"/>
            <w:vAlign w:val="center"/>
          </w:tcPr>
          <w:p w14:paraId="52757B23">
            <w:pPr>
              <w:pStyle w:val="179"/>
            </w:pPr>
          </w:p>
        </w:tc>
      </w:tr>
      <w:tr w14:paraId="60AF7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5E968CAA">
            <w:pPr>
              <w:pStyle w:val="179"/>
            </w:pPr>
          </w:p>
        </w:tc>
        <w:tc>
          <w:tcPr>
            <w:tcW w:w="709" w:type="dxa"/>
            <w:vAlign w:val="center"/>
          </w:tcPr>
          <w:p w14:paraId="509F2E79">
            <w:pPr>
              <w:pStyle w:val="179"/>
            </w:pPr>
          </w:p>
        </w:tc>
        <w:tc>
          <w:tcPr>
            <w:tcW w:w="851" w:type="dxa"/>
            <w:vAlign w:val="center"/>
          </w:tcPr>
          <w:p w14:paraId="05C6C20F">
            <w:pPr>
              <w:pStyle w:val="179"/>
            </w:pPr>
          </w:p>
        </w:tc>
        <w:tc>
          <w:tcPr>
            <w:tcW w:w="992" w:type="dxa"/>
            <w:vAlign w:val="center"/>
          </w:tcPr>
          <w:p w14:paraId="350F74B8">
            <w:pPr>
              <w:pStyle w:val="179"/>
            </w:pPr>
          </w:p>
        </w:tc>
        <w:tc>
          <w:tcPr>
            <w:tcW w:w="1276" w:type="dxa"/>
            <w:vAlign w:val="center"/>
          </w:tcPr>
          <w:p w14:paraId="2CFD8452">
            <w:pPr>
              <w:pStyle w:val="179"/>
            </w:pPr>
          </w:p>
        </w:tc>
        <w:tc>
          <w:tcPr>
            <w:tcW w:w="1230" w:type="dxa"/>
            <w:vAlign w:val="center"/>
          </w:tcPr>
          <w:p w14:paraId="14CA1096">
            <w:pPr>
              <w:pStyle w:val="179"/>
            </w:pPr>
          </w:p>
        </w:tc>
        <w:tc>
          <w:tcPr>
            <w:tcW w:w="940" w:type="dxa"/>
            <w:vAlign w:val="center"/>
          </w:tcPr>
          <w:p w14:paraId="26EB1952">
            <w:pPr>
              <w:pStyle w:val="179"/>
            </w:pPr>
          </w:p>
        </w:tc>
        <w:tc>
          <w:tcPr>
            <w:tcW w:w="806" w:type="dxa"/>
            <w:vAlign w:val="center"/>
          </w:tcPr>
          <w:p w14:paraId="24371590">
            <w:pPr>
              <w:pStyle w:val="179"/>
            </w:pPr>
          </w:p>
        </w:tc>
        <w:tc>
          <w:tcPr>
            <w:tcW w:w="851" w:type="dxa"/>
            <w:vAlign w:val="center"/>
          </w:tcPr>
          <w:p w14:paraId="704306AF">
            <w:pPr>
              <w:pStyle w:val="179"/>
            </w:pPr>
          </w:p>
        </w:tc>
        <w:tc>
          <w:tcPr>
            <w:tcW w:w="1142" w:type="dxa"/>
            <w:vAlign w:val="center"/>
          </w:tcPr>
          <w:p w14:paraId="56644B74">
            <w:pPr>
              <w:pStyle w:val="179"/>
            </w:pPr>
          </w:p>
        </w:tc>
      </w:tr>
      <w:tr w14:paraId="6B346B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vAlign w:val="center"/>
          </w:tcPr>
          <w:p w14:paraId="47CB7852">
            <w:pPr>
              <w:pStyle w:val="179"/>
            </w:pPr>
          </w:p>
        </w:tc>
        <w:tc>
          <w:tcPr>
            <w:tcW w:w="709" w:type="dxa"/>
            <w:vAlign w:val="center"/>
          </w:tcPr>
          <w:p w14:paraId="63D3B7BB">
            <w:pPr>
              <w:pStyle w:val="179"/>
            </w:pPr>
          </w:p>
        </w:tc>
        <w:tc>
          <w:tcPr>
            <w:tcW w:w="851" w:type="dxa"/>
            <w:vAlign w:val="center"/>
          </w:tcPr>
          <w:p w14:paraId="4C3C67E2">
            <w:pPr>
              <w:pStyle w:val="179"/>
            </w:pPr>
          </w:p>
        </w:tc>
        <w:tc>
          <w:tcPr>
            <w:tcW w:w="992" w:type="dxa"/>
            <w:vAlign w:val="center"/>
          </w:tcPr>
          <w:p w14:paraId="446A38F8">
            <w:pPr>
              <w:pStyle w:val="179"/>
            </w:pPr>
          </w:p>
        </w:tc>
        <w:tc>
          <w:tcPr>
            <w:tcW w:w="1276" w:type="dxa"/>
            <w:vAlign w:val="center"/>
          </w:tcPr>
          <w:p w14:paraId="3A186334">
            <w:pPr>
              <w:pStyle w:val="179"/>
            </w:pPr>
          </w:p>
        </w:tc>
        <w:tc>
          <w:tcPr>
            <w:tcW w:w="1230" w:type="dxa"/>
            <w:vAlign w:val="center"/>
          </w:tcPr>
          <w:p w14:paraId="54A284F3">
            <w:pPr>
              <w:pStyle w:val="179"/>
            </w:pPr>
          </w:p>
        </w:tc>
        <w:tc>
          <w:tcPr>
            <w:tcW w:w="940" w:type="dxa"/>
            <w:vAlign w:val="center"/>
          </w:tcPr>
          <w:p w14:paraId="79D34DEB">
            <w:pPr>
              <w:pStyle w:val="179"/>
            </w:pPr>
          </w:p>
        </w:tc>
        <w:tc>
          <w:tcPr>
            <w:tcW w:w="806" w:type="dxa"/>
            <w:vAlign w:val="center"/>
          </w:tcPr>
          <w:p w14:paraId="3A6122F0">
            <w:pPr>
              <w:pStyle w:val="179"/>
            </w:pPr>
          </w:p>
        </w:tc>
        <w:tc>
          <w:tcPr>
            <w:tcW w:w="851" w:type="dxa"/>
            <w:vAlign w:val="center"/>
          </w:tcPr>
          <w:p w14:paraId="3B8620B0">
            <w:pPr>
              <w:pStyle w:val="179"/>
            </w:pPr>
          </w:p>
        </w:tc>
        <w:tc>
          <w:tcPr>
            <w:tcW w:w="1142" w:type="dxa"/>
            <w:vAlign w:val="center"/>
          </w:tcPr>
          <w:p w14:paraId="23A0CF10">
            <w:pPr>
              <w:pStyle w:val="179"/>
            </w:pPr>
          </w:p>
        </w:tc>
      </w:tr>
      <w:tr w14:paraId="15A737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77" w:type="dxa"/>
            <w:tcBorders>
              <w:bottom w:val="single" w:color="auto" w:sz="8" w:space="0"/>
            </w:tcBorders>
            <w:vAlign w:val="center"/>
          </w:tcPr>
          <w:p w14:paraId="550B4EC1">
            <w:pPr>
              <w:pStyle w:val="179"/>
            </w:pPr>
          </w:p>
        </w:tc>
        <w:tc>
          <w:tcPr>
            <w:tcW w:w="709" w:type="dxa"/>
            <w:tcBorders>
              <w:bottom w:val="single" w:color="auto" w:sz="8" w:space="0"/>
            </w:tcBorders>
            <w:vAlign w:val="center"/>
          </w:tcPr>
          <w:p w14:paraId="2DD927A4">
            <w:pPr>
              <w:pStyle w:val="179"/>
            </w:pPr>
          </w:p>
        </w:tc>
        <w:tc>
          <w:tcPr>
            <w:tcW w:w="851" w:type="dxa"/>
            <w:tcBorders>
              <w:bottom w:val="single" w:color="auto" w:sz="8" w:space="0"/>
            </w:tcBorders>
            <w:vAlign w:val="center"/>
          </w:tcPr>
          <w:p w14:paraId="7ED29D22">
            <w:pPr>
              <w:pStyle w:val="179"/>
            </w:pPr>
          </w:p>
        </w:tc>
        <w:tc>
          <w:tcPr>
            <w:tcW w:w="992" w:type="dxa"/>
            <w:tcBorders>
              <w:bottom w:val="single" w:color="auto" w:sz="8" w:space="0"/>
            </w:tcBorders>
            <w:vAlign w:val="center"/>
          </w:tcPr>
          <w:p w14:paraId="70E32A65">
            <w:pPr>
              <w:pStyle w:val="179"/>
            </w:pPr>
          </w:p>
        </w:tc>
        <w:tc>
          <w:tcPr>
            <w:tcW w:w="1276" w:type="dxa"/>
            <w:tcBorders>
              <w:bottom w:val="single" w:color="auto" w:sz="8" w:space="0"/>
            </w:tcBorders>
            <w:vAlign w:val="center"/>
          </w:tcPr>
          <w:p w14:paraId="55DE4712">
            <w:pPr>
              <w:pStyle w:val="179"/>
            </w:pPr>
          </w:p>
        </w:tc>
        <w:tc>
          <w:tcPr>
            <w:tcW w:w="1230" w:type="dxa"/>
            <w:tcBorders>
              <w:bottom w:val="single" w:color="auto" w:sz="8" w:space="0"/>
            </w:tcBorders>
            <w:vAlign w:val="center"/>
          </w:tcPr>
          <w:p w14:paraId="4B596A69">
            <w:pPr>
              <w:pStyle w:val="179"/>
            </w:pPr>
          </w:p>
        </w:tc>
        <w:tc>
          <w:tcPr>
            <w:tcW w:w="940" w:type="dxa"/>
            <w:tcBorders>
              <w:bottom w:val="single" w:color="auto" w:sz="8" w:space="0"/>
            </w:tcBorders>
            <w:vAlign w:val="center"/>
          </w:tcPr>
          <w:p w14:paraId="40541510">
            <w:pPr>
              <w:pStyle w:val="179"/>
            </w:pPr>
          </w:p>
        </w:tc>
        <w:tc>
          <w:tcPr>
            <w:tcW w:w="806" w:type="dxa"/>
            <w:tcBorders>
              <w:bottom w:val="single" w:color="auto" w:sz="8" w:space="0"/>
            </w:tcBorders>
            <w:vAlign w:val="center"/>
          </w:tcPr>
          <w:p w14:paraId="74B8D542">
            <w:pPr>
              <w:pStyle w:val="179"/>
            </w:pPr>
          </w:p>
        </w:tc>
        <w:tc>
          <w:tcPr>
            <w:tcW w:w="851" w:type="dxa"/>
            <w:tcBorders>
              <w:bottom w:val="single" w:color="auto" w:sz="8" w:space="0"/>
            </w:tcBorders>
            <w:vAlign w:val="center"/>
          </w:tcPr>
          <w:p w14:paraId="71DA4BFF">
            <w:pPr>
              <w:pStyle w:val="179"/>
            </w:pPr>
          </w:p>
        </w:tc>
        <w:tc>
          <w:tcPr>
            <w:tcW w:w="1142" w:type="dxa"/>
            <w:tcBorders>
              <w:bottom w:val="single" w:color="auto" w:sz="8" w:space="0"/>
            </w:tcBorders>
            <w:vAlign w:val="center"/>
          </w:tcPr>
          <w:p w14:paraId="5EA25BC3">
            <w:pPr>
              <w:pStyle w:val="179"/>
            </w:pPr>
          </w:p>
        </w:tc>
      </w:tr>
    </w:tbl>
    <w:p w14:paraId="4B16BB9A">
      <w:pPr>
        <w:pStyle w:val="57"/>
        <w:ind w:firstLine="0" w:firstLineChars="0"/>
      </w:pPr>
    </w:p>
    <w:p w14:paraId="4227E421">
      <w:pPr>
        <w:pStyle w:val="57"/>
        <w:ind w:firstLine="420"/>
      </w:pPr>
    </w:p>
    <w:p w14:paraId="0F679005">
      <w:pPr>
        <w:pStyle w:val="57"/>
        <w:ind w:firstLine="420"/>
        <w:sectPr>
          <w:headerReference r:id="rId39" w:type="default"/>
          <w:footerReference r:id="rId41" w:type="default"/>
          <w:headerReference r:id="rId40" w:type="even"/>
          <w:footerReference r:id="rId42" w:type="even"/>
          <w:pgSz w:w="11906" w:h="16838"/>
          <w:pgMar w:top="1928" w:right="1134" w:bottom="1134" w:left="1134" w:header="1418" w:footer="1134" w:gutter="284"/>
          <w:cols w:space="425" w:num="1"/>
          <w:formProt w:val="0"/>
          <w:docGrid w:linePitch="312" w:charSpace="0"/>
        </w:sectPr>
      </w:pPr>
      <w:bookmarkStart w:id="192" w:name="BookMark6"/>
    </w:p>
    <w:p w14:paraId="130CD4FA">
      <w:pPr>
        <w:pStyle w:val="64"/>
        <w:spacing w:after="120"/>
      </w:pPr>
      <w:bookmarkStart w:id="193" w:name="_Toc233558365"/>
      <w:bookmarkStart w:id="194" w:name="_Toc233381882"/>
      <w:bookmarkStart w:id="195" w:name="_Toc225874528"/>
      <w:bookmarkStart w:id="196" w:name="_Toc233573741"/>
      <w:bookmarkStart w:id="197" w:name="_Toc225873078"/>
      <w:r>
        <w:rPr>
          <w:rFonts w:hint="eastAsia"/>
          <w:spacing w:val="105"/>
        </w:rPr>
        <w:t>参考文</w:t>
      </w:r>
      <w:r>
        <w:rPr>
          <w:rFonts w:hint="eastAsia"/>
        </w:rPr>
        <w:t>献</w:t>
      </w:r>
      <w:bookmarkEnd w:id="193"/>
      <w:bookmarkEnd w:id="194"/>
      <w:bookmarkEnd w:id="195"/>
      <w:bookmarkEnd w:id="196"/>
      <w:bookmarkEnd w:id="197"/>
    </w:p>
    <w:p w14:paraId="6E534765">
      <w:pPr>
        <w:pStyle w:val="57"/>
        <w:ind w:firstLine="420"/>
      </w:pPr>
      <w:r>
        <w:rPr>
          <w:rFonts w:hint="eastAsia"/>
        </w:rPr>
        <w:t>[1]  中国就业培训技术指导中心，中国心理卫生协会.心理咨询师（三级）[M].2012年修订版.北京：民族出版社，2012.</w:t>
      </w:r>
    </w:p>
    <w:p w14:paraId="0BE6DFF6">
      <w:pPr>
        <w:pStyle w:val="57"/>
        <w:ind w:firstLine="420"/>
      </w:pPr>
      <w:r>
        <w:rPr>
          <w:rFonts w:hint="eastAsia"/>
        </w:rPr>
        <w:t>[2]  医疗卫生机构医学装备管理办法（卫规财发〔2011〕24号）</w:t>
      </w:r>
    </w:p>
    <w:p w14:paraId="332A93FE">
      <w:pPr>
        <w:pStyle w:val="57"/>
        <w:ind w:firstLine="420"/>
      </w:pPr>
      <w:r>
        <w:rPr>
          <w:rFonts w:hint="eastAsia"/>
        </w:rPr>
        <w:t>[3]  医院感染管理办法（2006年中华人民共和国卫生部令第48号）</w:t>
      </w:r>
    </w:p>
    <w:p w14:paraId="037C56E3">
      <w:pPr>
        <w:pStyle w:val="57"/>
        <w:ind w:firstLine="420"/>
      </w:pPr>
      <w:r>
        <w:rPr>
          <w:rFonts w:hint="eastAsia"/>
        </w:rPr>
        <w:t>[4]  医疗废物管理条例（2003年中华人民共和国国务院令第380号）</w:t>
      </w:r>
    </w:p>
    <w:p w14:paraId="541DED3F">
      <w:pPr>
        <w:pStyle w:val="57"/>
        <w:ind w:firstLine="420"/>
      </w:pPr>
      <w:r>
        <w:rPr>
          <w:rFonts w:hint="eastAsia"/>
        </w:rPr>
        <w:t>[5]  吴莹玉，王文娟，肖媛，等.开放式精神科病房护士预防青少年非自杀性自伤障碍因素的质性研究[J].中国临床护理，2025，17(12):740-745.</w:t>
      </w:r>
    </w:p>
    <w:p w14:paraId="1B237F3A">
      <w:pPr>
        <w:pStyle w:val="57"/>
        <w:ind w:firstLine="420"/>
      </w:pPr>
      <w:r>
        <w:rPr>
          <w:rFonts w:hint="eastAsia"/>
        </w:rPr>
        <w:t>[6]  郭静.自杀风险评估量表（NGASR-CN）的重译及信效度检验[D].山东大学,2018</w:t>
      </w:r>
    </w:p>
    <w:p w14:paraId="3BD498C8">
      <w:pPr>
        <w:pStyle w:val="57"/>
        <w:ind w:firstLine="420"/>
      </w:pPr>
      <w:r>
        <w:rPr>
          <w:rFonts w:hint="eastAsia"/>
        </w:rPr>
        <w:t>[7]  陈月新，叶敏捷，季显琼，方春霞，陈瑶偏.护士用自杀风险评估量表(NGASR)在住院精神分裂症患者中应用的信效度研究[J].中国民康医学,2011,23(03):271-273</w:t>
      </w:r>
    </w:p>
    <w:bookmarkEnd w:id="192"/>
    <w:p w14:paraId="65F5F9C9">
      <w:pPr>
        <w:pStyle w:val="57"/>
        <w:ind w:firstLine="0" w:firstLineChars="0"/>
        <w:jc w:val="center"/>
      </w:pPr>
      <w:bookmarkStart w:id="198" w:name="BookMark8"/>
      <w:r>
        <w:drawing>
          <wp:inline distT="0" distB="0" distL="0" distR="0">
            <wp:extent cx="1485900" cy="317500"/>
            <wp:effectExtent l="0" t="0" r="0" b="0"/>
            <wp:docPr id="677103269" name="图片 1"/>
            <wp:cNvGraphicFramePr/>
            <a:graphic xmlns:a="http://schemas.openxmlformats.org/drawingml/2006/main">
              <a:graphicData uri="http://schemas.openxmlformats.org/drawingml/2006/picture">
                <pic:pic xmlns:pic="http://schemas.openxmlformats.org/drawingml/2006/picture">
                  <pic:nvPicPr>
                    <pic:cNvPr id="677103269" name="图片 1"/>
                    <pic:cNvPicPr/>
                  </pic:nvPicPr>
                  <pic:blipFill>
                    <a:blip r:embed="rId5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8"/>
    </w:p>
    <w:sectPr>
      <w:headerReference r:id="rId43" w:type="default"/>
      <w:footerReference r:id="rId45" w:type="default"/>
      <w:headerReference r:id="rId44" w:type="even"/>
      <w:footerReference r:id="rId4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9C038">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BF566">
    <w:pPr>
      <w:pStyle w:val="53"/>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C2789">
    <w:pPr>
      <w:pStyle w:val="52"/>
    </w:pPr>
    <w:r>
      <w:fldChar w:fldCharType="begin"/>
    </w:r>
    <w:r>
      <w:instrText xml:space="preserve"> PAGE   \* MERGEFORMAT \* MERGEFORMAT </w:instrText>
    </w:r>
    <w:r>
      <w:fldChar w:fldCharType="separate"/>
    </w:r>
    <w:r>
      <w:t>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F2516">
    <w:pPr>
      <w:pStyle w:val="53"/>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ADB6C">
    <w:pPr>
      <w:pStyle w:val="52"/>
    </w:pPr>
    <w:r>
      <w:fldChar w:fldCharType="begin"/>
    </w:r>
    <w:r>
      <w:instrText xml:space="preserve"> PAGE   \* MERGEFORMAT \* MERGEFORMAT </w:instrText>
    </w:r>
    <w:r>
      <w:fldChar w:fldCharType="separate"/>
    </w:r>
    <w:r>
      <w:t>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82328">
    <w:pPr>
      <w:pStyle w:val="53"/>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2CA89">
    <w:pPr>
      <w:pStyle w:val="52"/>
    </w:pPr>
    <w:r>
      <w:fldChar w:fldCharType="begin"/>
    </w:r>
    <w:r>
      <w:instrText xml:space="preserve"> PAGE   \* MERGEFORMAT \* MERGEFORMAT </w:instrText>
    </w:r>
    <w:r>
      <w:fldChar w:fldCharType="separate"/>
    </w:r>
    <w:r>
      <w:t>8</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1BB6A">
    <w:pPr>
      <w:pStyle w:val="53"/>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7A8C3">
    <w:pPr>
      <w:pStyle w:val="52"/>
    </w:pPr>
    <w:r>
      <w:fldChar w:fldCharType="begin"/>
    </w:r>
    <w:r>
      <w:instrText xml:space="preserve"> PAGE   \* MERGEFORMAT \* MERGEFORMAT </w:instrText>
    </w:r>
    <w:r>
      <w:fldChar w:fldCharType="separate"/>
    </w:r>
    <w:r>
      <w:t>10</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9B700">
    <w:pPr>
      <w:pStyle w:val="53"/>
    </w:pPr>
    <w:r>
      <w:fldChar w:fldCharType="begin"/>
    </w:r>
    <w:r>
      <w:instrText xml:space="preserve">PAGE   \* MERGEFORMAT</w:instrText>
    </w:r>
    <w:r>
      <w:fldChar w:fldCharType="separate"/>
    </w:r>
    <w:r>
      <w:rPr>
        <w:lang w:val="zh-CN"/>
      </w:rPr>
      <w:t>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36B5F">
    <w:pPr>
      <w:pStyle w:val="52"/>
    </w:pPr>
    <w:r>
      <w:fldChar w:fldCharType="begin"/>
    </w:r>
    <w:r>
      <w:instrText xml:space="preserve"> PAGE   \* MERGEFORMAT \* MERGEFORMAT </w:instrText>
    </w:r>
    <w:r>
      <w:fldChar w:fldCharType="separate"/>
    </w:r>
    <w:r>
      <w:t>12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2EBF">
    <w:pPr>
      <w:pStyle w:val="18"/>
    </w:pPr>
    <w:r>
      <w:fldChar w:fldCharType="begin"/>
    </w:r>
    <w:r>
      <w:instrText xml:space="preserve">PAGE   \* MERGEFORMAT</w:instrText>
    </w:r>
    <w:r>
      <w:fldChar w:fldCharType="separate"/>
    </w:r>
    <w:r>
      <w:rPr>
        <w:lang w:val="zh-CN"/>
      </w:rPr>
      <w:t>2</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E0E34">
    <w:pPr>
      <w:pStyle w:val="53"/>
    </w:pPr>
    <w:r>
      <w:fldChar w:fldCharType="begin"/>
    </w:r>
    <w:r>
      <w:instrText xml:space="preserve">PAGE   \* MERGEFORMAT</w:instrText>
    </w:r>
    <w:r>
      <w:fldChar w:fldCharType="separate"/>
    </w:r>
    <w:r>
      <w:rPr>
        <w:lang w:val="zh-CN"/>
      </w:rPr>
      <w:t>1</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F1CB6">
    <w:pPr>
      <w:pStyle w:val="52"/>
    </w:pPr>
    <w:r>
      <w:fldChar w:fldCharType="begin"/>
    </w:r>
    <w:r>
      <w:instrText xml:space="preserve"> PAGE   \* MERGEFORMAT \* MERGEFORMAT </w:instrText>
    </w:r>
    <w:r>
      <w:fldChar w:fldCharType="separate"/>
    </w:r>
    <w:r>
      <w:t>13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91A46">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2FB6C">
    <w:pPr>
      <w:pStyle w:val="53"/>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75FA8">
    <w:pPr>
      <w:pStyle w:val="52"/>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1BC3F">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A8BD7">
    <w:pPr>
      <w:pStyle w:val="52"/>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01BF4">
    <w:pPr>
      <w:pStyle w:val="53"/>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8E200">
    <w:pPr>
      <w:pStyle w:val="52"/>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1FA95">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BAAFC">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F6773">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6C3AF">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03D6A">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5A514">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39687">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0C93F">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6E304">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F4A5D">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AB9E7">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E5ACA">
    <w:pPr>
      <w:pStyle w:val="19"/>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BD5C9">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CBA45">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E1750">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9B036">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BACAC">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47DB8">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249BB">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85A12">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1CC9A">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6760"/>
    <w:rsid w:val="0000040A"/>
    <w:rsid w:val="00000A94"/>
    <w:rsid w:val="00001972"/>
    <w:rsid w:val="00001D9A"/>
    <w:rsid w:val="00003850"/>
    <w:rsid w:val="000066F1"/>
    <w:rsid w:val="00007B3A"/>
    <w:rsid w:val="000107E0"/>
    <w:rsid w:val="00010B20"/>
    <w:rsid w:val="00011FDE"/>
    <w:rsid w:val="00012FFD"/>
    <w:rsid w:val="00014162"/>
    <w:rsid w:val="00014340"/>
    <w:rsid w:val="00016A9C"/>
    <w:rsid w:val="00022184"/>
    <w:rsid w:val="00022762"/>
    <w:rsid w:val="000238E0"/>
    <w:rsid w:val="000249DB"/>
    <w:rsid w:val="0002595E"/>
    <w:rsid w:val="000303C3"/>
    <w:rsid w:val="000305D8"/>
    <w:rsid w:val="000331D3"/>
    <w:rsid w:val="000346A5"/>
    <w:rsid w:val="000359C3"/>
    <w:rsid w:val="00035A7D"/>
    <w:rsid w:val="000365ED"/>
    <w:rsid w:val="0004249A"/>
    <w:rsid w:val="00043282"/>
    <w:rsid w:val="00044286"/>
    <w:rsid w:val="00047F28"/>
    <w:rsid w:val="000503AA"/>
    <w:rsid w:val="000506A1"/>
    <w:rsid w:val="000515DD"/>
    <w:rsid w:val="0005265A"/>
    <w:rsid w:val="00052BBB"/>
    <w:rsid w:val="000539DD"/>
    <w:rsid w:val="00053BD3"/>
    <w:rsid w:val="000556ED"/>
    <w:rsid w:val="00055FE2"/>
    <w:rsid w:val="0005616F"/>
    <w:rsid w:val="00060C2E"/>
    <w:rsid w:val="00061033"/>
    <w:rsid w:val="000619E9"/>
    <w:rsid w:val="000622D4"/>
    <w:rsid w:val="0006357D"/>
    <w:rsid w:val="00066FBB"/>
    <w:rsid w:val="00067E44"/>
    <w:rsid w:val="00067F1E"/>
    <w:rsid w:val="00071CC0"/>
    <w:rsid w:val="00071CFC"/>
    <w:rsid w:val="00072ED7"/>
    <w:rsid w:val="00073C8C"/>
    <w:rsid w:val="00077B64"/>
    <w:rsid w:val="00080A1C"/>
    <w:rsid w:val="00080DF9"/>
    <w:rsid w:val="00081356"/>
    <w:rsid w:val="00081EC4"/>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3F99"/>
    <w:rsid w:val="000A4B10"/>
    <w:rsid w:val="000A7311"/>
    <w:rsid w:val="000B060F"/>
    <w:rsid w:val="000B1592"/>
    <w:rsid w:val="000B1FF2"/>
    <w:rsid w:val="000B37C1"/>
    <w:rsid w:val="000B3CDA"/>
    <w:rsid w:val="000B6A0B"/>
    <w:rsid w:val="000C0B7B"/>
    <w:rsid w:val="000C0F6C"/>
    <w:rsid w:val="000C11DB"/>
    <w:rsid w:val="000C1492"/>
    <w:rsid w:val="000C2FBD"/>
    <w:rsid w:val="000C4490"/>
    <w:rsid w:val="000C4B41"/>
    <w:rsid w:val="000C57D6"/>
    <w:rsid w:val="000C5CEE"/>
    <w:rsid w:val="000C6362"/>
    <w:rsid w:val="000C7666"/>
    <w:rsid w:val="000C7F02"/>
    <w:rsid w:val="000D0A9C"/>
    <w:rsid w:val="000D1795"/>
    <w:rsid w:val="000D329A"/>
    <w:rsid w:val="000D4B9C"/>
    <w:rsid w:val="000D4EB6"/>
    <w:rsid w:val="000D753B"/>
    <w:rsid w:val="000E11B2"/>
    <w:rsid w:val="000E4C9E"/>
    <w:rsid w:val="000E6FD7"/>
    <w:rsid w:val="000E7144"/>
    <w:rsid w:val="000F06E1"/>
    <w:rsid w:val="000F0E3C"/>
    <w:rsid w:val="000F19D5"/>
    <w:rsid w:val="000F2738"/>
    <w:rsid w:val="000F4050"/>
    <w:rsid w:val="000F4AEA"/>
    <w:rsid w:val="000F67E9"/>
    <w:rsid w:val="00104926"/>
    <w:rsid w:val="00107229"/>
    <w:rsid w:val="00113B1E"/>
    <w:rsid w:val="0011711C"/>
    <w:rsid w:val="00124E4F"/>
    <w:rsid w:val="001260B7"/>
    <w:rsid w:val="00126361"/>
    <w:rsid w:val="001265CB"/>
    <w:rsid w:val="001314ED"/>
    <w:rsid w:val="001321C6"/>
    <w:rsid w:val="001325C4"/>
    <w:rsid w:val="00133010"/>
    <w:rsid w:val="001338EE"/>
    <w:rsid w:val="00133AAE"/>
    <w:rsid w:val="00135323"/>
    <w:rsid w:val="001356C4"/>
    <w:rsid w:val="00137565"/>
    <w:rsid w:val="00141114"/>
    <w:rsid w:val="00141F0D"/>
    <w:rsid w:val="00142969"/>
    <w:rsid w:val="001446C2"/>
    <w:rsid w:val="001457E7"/>
    <w:rsid w:val="00145D9D"/>
    <w:rsid w:val="00146388"/>
    <w:rsid w:val="001529E5"/>
    <w:rsid w:val="00152FB3"/>
    <w:rsid w:val="00153C7E"/>
    <w:rsid w:val="00156253"/>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8B"/>
    <w:rsid w:val="00170804"/>
    <w:rsid w:val="001708E9"/>
    <w:rsid w:val="0017340B"/>
    <w:rsid w:val="00173FB1"/>
    <w:rsid w:val="00176DFD"/>
    <w:rsid w:val="00182D61"/>
    <w:rsid w:val="001852C9"/>
    <w:rsid w:val="00187A0B"/>
    <w:rsid w:val="00190087"/>
    <w:rsid w:val="001913C4"/>
    <w:rsid w:val="00192EA1"/>
    <w:rsid w:val="0019348F"/>
    <w:rsid w:val="00193A07"/>
    <w:rsid w:val="00194C95"/>
    <w:rsid w:val="00195C34"/>
    <w:rsid w:val="00196EF5"/>
    <w:rsid w:val="001A1A53"/>
    <w:rsid w:val="001A234A"/>
    <w:rsid w:val="001A4CF3"/>
    <w:rsid w:val="001A6696"/>
    <w:rsid w:val="001B06E8"/>
    <w:rsid w:val="001B41B2"/>
    <w:rsid w:val="001B71D0"/>
    <w:rsid w:val="001B71EE"/>
    <w:rsid w:val="001C002A"/>
    <w:rsid w:val="001C04A8"/>
    <w:rsid w:val="001C2C03"/>
    <w:rsid w:val="001C42F7"/>
    <w:rsid w:val="001C49E5"/>
    <w:rsid w:val="001C56E2"/>
    <w:rsid w:val="001C680C"/>
    <w:rsid w:val="001C7074"/>
    <w:rsid w:val="001C7603"/>
    <w:rsid w:val="001C7FEA"/>
    <w:rsid w:val="001D0499"/>
    <w:rsid w:val="001D0BBE"/>
    <w:rsid w:val="001D0ED4"/>
    <w:rsid w:val="001D212F"/>
    <w:rsid w:val="001D29D7"/>
    <w:rsid w:val="001D2DE7"/>
    <w:rsid w:val="001D411C"/>
    <w:rsid w:val="001E0B0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897"/>
    <w:rsid w:val="002142EA"/>
    <w:rsid w:val="00215ADD"/>
    <w:rsid w:val="002163BB"/>
    <w:rsid w:val="002204BB"/>
    <w:rsid w:val="00221B79"/>
    <w:rsid w:val="00221C6B"/>
    <w:rsid w:val="002253A1"/>
    <w:rsid w:val="00225CF8"/>
    <w:rsid w:val="0022794E"/>
    <w:rsid w:val="00233D64"/>
    <w:rsid w:val="0023482A"/>
    <w:rsid w:val="002359CB"/>
    <w:rsid w:val="00237A76"/>
    <w:rsid w:val="00243540"/>
    <w:rsid w:val="0024497B"/>
    <w:rsid w:val="0024515B"/>
    <w:rsid w:val="00246021"/>
    <w:rsid w:val="0024666E"/>
    <w:rsid w:val="00247F52"/>
    <w:rsid w:val="00250B25"/>
    <w:rsid w:val="00250BBE"/>
    <w:rsid w:val="002515C2"/>
    <w:rsid w:val="0025194F"/>
    <w:rsid w:val="00252F3A"/>
    <w:rsid w:val="0026148A"/>
    <w:rsid w:val="00262696"/>
    <w:rsid w:val="00263D25"/>
    <w:rsid w:val="002643C3"/>
    <w:rsid w:val="00264A0C"/>
    <w:rsid w:val="00266EEB"/>
    <w:rsid w:val="00267EF4"/>
    <w:rsid w:val="00270CB8"/>
    <w:rsid w:val="002713F0"/>
    <w:rsid w:val="0027265A"/>
    <w:rsid w:val="00272B08"/>
    <w:rsid w:val="00281BB8"/>
    <w:rsid w:val="00281E9E"/>
    <w:rsid w:val="00282405"/>
    <w:rsid w:val="00284244"/>
    <w:rsid w:val="00284A82"/>
    <w:rsid w:val="00285170"/>
    <w:rsid w:val="00285361"/>
    <w:rsid w:val="0029056F"/>
    <w:rsid w:val="00292D60"/>
    <w:rsid w:val="00293B30"/>
    <w:rsid w:val="00294C9D"/>
    <w:rsid w:val="00294D34"/>
    <w:rsid w:val="00294E3B"/>
    <w:rsid w:val="00296193"/>
    <w:rsid w:val="00296C66"/>
    <w:rsid w:val="00296EBE"/>
    <w:rsid w:val="002974E3"/>
    <w:rsid w:val="002A084B"/>
    <w:rsid w:val="002A1260"/>
    <w:rsid w:val="002A1589"/>
    <w:rsid w:val="002A1608"/>
    <w:rsid w:val="002A1B37"/>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076"/>
    <w:rsid w:val="002C7EBB"/>
    <w:rsid w:val="002D06C1"/>
    <w:rsid w:val="002D42B5"/>
    <w:rsid w:val="002D4F1A"/>
    <w:rsid w:val="002D6933"/>
    <w:rsid w:val="002D6A85"/>
    <w:rsid w:val="002D6EC6"/>
    <w:rsid w:val="002D79AC"/>
    <w:rsid w:val="002E039D"/>
    <w:rsid w:val="002E4D5A"/>
    <w:rsid w:val="002E6326"/>
    <w:rsid w:val="002F30E0"/>
    <w:rsid w:val="002F35E4"/>
    <w:rsid w:val="002F3730"/>
    <w:rsid w:val="002F38E1"/>
    <w:rsid w:val="002F7AF6"/>
    <w:rsid w:val="00300E63"/>
    <w:rsid w:val="00301BE9"/>
    <w:rsid w:val="00302F5F"/>
    <w:rsid w:val="0030441D"/>
    <w:rsid w:val="00306063"/>
    <w:rsid w:val="003117EA"/>
    <w:rsid w:val="00311F78"/>
    <w:rsid w:val="00313B85"/>
    <w:rsid w:val="003142B1"/>
    <w:rsid w:val="00315D58"/>
    <w:rsid w:val="00317988"/>
    <w:rsid w:val="003221B4"/>
    <w:rsid w:val="0032258D"/>
    <w:rsid w:val="00322E62"/>
    <w:rsid w:val="00324D13"/>
    <w:rsid w:val="00324EDD"/>
    <w:rsid w:val="003331E4"/>
    <w:rsid w:val="00335CA8"/>
    <w:rsid w:val="00336C64"/>
    <w:rsid w:val="00337162"/>
    <w:rsid w:val="0034194F"/>
    <w:rsid w:val="00344605"/>
    <w:rsid w:val="003474AA"/>
    <w:rsid w:val="00350D1D"/>
    <w:rsid w:val="00352C83"/>
    <w:rsid w:val="00352F1A"/>
    <w:rsid w:val="003564CA"/>
    <w:rsid w:val="0036107C"/>
    <w:rsid w:val="003615D2"/>
    <w:rsid w:val="0036429C"/>
    <w:rsid w:val="00364A53"/>
    <w:rsid w:val="003654CB"/>
    <w:rsid w:val="00365AA9"/>
    <w:rsid w:val="00365F86"/>
    <w:rsid w:val="00365F87"/>
    <w:rsid w:val="00366E89"/>
    <w:rsid w:val="003705F4"/>
    <w:rsid w:val="00370D58"/>
    <w:rsid w:val="00371316"/>
    <w:rsid w:val="00375169"/>
    <w:rsid w:val="00376713"/>
    <w:rsid w:val="00380662"/>
    <w:rsid w:val="00381815"/>
    <w:rsid w:val="003819AF"/>
    <w:rsid w:val="003820E9"/>
    <w:rsid w:val="00382DE7"/>
    <w:rsid w:val="00384FFC"/>
    <w:rsid w:val="003872FC"/>
    <w:rsid w:val="00387ADC"/>
    <w:rsid w:val="00390020"/>
    <w:rsid w:val="003903D6"/>
    <w:rsid w:val="00390EE6"/>
    <w:rsid w:val="0039118F"/>
    <w:rsid w:val="00391DCB"/>
    <w:rsid w:val="00391F4E"/>
    <w:rsid w:val="00392AD7"/>
    <w:rsid w:val="003938D9"/>
    <w:rsid w:val="00394376"/>
    <w:rsid w:val="003943FF"/>
    <w:rsid w:val="003974EB"/>
    <w:rsid w:val="00397CC5"/>
    <w:rsid w:val="003A11D1"/>
    <w:rsid w:val="003A1582"/>
    <w:rsid w:val="003A3D9C"/>
    <w:rsid w:val="003A4077"/>
    <w:rsid w:val="003A4AA7"/>
    <w:rsid w:val="003A5A72"/>
    <w:rsid w:val="003B09AD"/>
    <w:rsid w:val="003B17B0"/>
    <w:rsid w:val="003B1F18"/>
    <w:rsid w:val="003B1F3A"/>
    <w:rsid w:val="003B5BF0"/>
    <w:rsid w:val="003B60BF"/>
    <w:rsid w:val="003B6BE3"/>
    <w:rsid w:val="003C010C"/>
    <w:rsid w:val="003C0A6C"/>
    <w:rsid w:val="003C14F8"/>
    <w:rsid w:val="003C5A43"/>
    <w:rsid w:val="003D0519"/>
    <w:rsid w:val="003D0FF6"/>
    <w:rsid w:val="003D21B9"/>
    <w:rsid w:val="003D262C"/>
    <w:rsid w:val="003D47C7"/>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21FE"/>
    <w:rsid w:val="0041477A"/>
    <w:rsid w:val="004167A3"/>
    <w:rsid w:val="00417092"/>
    <w:rsid w:val="00430A90"/>
    <w:rsid w:val="00432DAA"/>
    <w:rsid w:val="00434305"/>
    <w:rsid w:val="00434F9A"/>
    <w:rsid w:val="00435DF7"/>
    <w:rsid w:val="0044083F"/>
    <w:rsid w:val="00441AE7"/>
    <w:rsid w:val="00441C60"/>
    <w:rsid w:val="00445574"/>
    <w:rsid w:val="004467FB"/>
    <w:rsid w:val="004513B1"/>
    <w:rsid w:val="00452D6B"/>
    <w:rsid w:val="00454484"/>
    <w:rsid w:val="0045517B"/>
    <w:rsid w:val="00463B77"/>
    <w:rsid w:val="00463C7B"/>
    <w:rsid w:val="004644A6"/>
    <w:rsid w:val="004659BD"/>
    <w:rsid w:val="00470775"/>
    <w:rsid w:val="0047382B"/>
    <w:rsid w:val="004746B1"/>
    <w:rsid w:val="0047583F"/>
    <w:rsid w:val="00475DE8"/>
    <w:rsid w:val="00481C44"/>
    <w:rsid w:val="00484936"/>
    <w:rsid w:val="00485C89"/>
    <w:rsid w:val="00486BE3"/>
    <w:rsid w:val="0048715D"/>
    <w:rsid w:val="004905E4"/>
    <w:rsid w:val="00490A89"/>
    <w:rsid w:val="00490AB4"/>
    <w:rsid w:val="00492F02"/>
    <w:rsid w:val="004939AE"/>
    <w:rsid w:val="004A12DF"/>
    <w:rsid w:val="004A1BA8"/>
    <w:rsid w:val="004A2F2D"/>
    <w:rsid w:val="004A4B57"/>
    <w:rsid w:val="004A4EED"/>
    <w:rsid w:val="004A63FA"/>
    <w:rsid w:val="004A6A3D"/>
    <w:rsid w:val="004B0272"/>
    <w:rsid w:val="004B0764"/>
    <w:rsid w:val="004B2701"/>
    <w:rsid w:val="004B2E1B"/>
    <w:rsid w:val="004B3AA8"/>
    <w:rsid w:val="004B3E93"/>
    <w:rsid w:val="004C1FBC"/>
    <w:rsid w:val="004C25A2"/>
    <w:rsid w:val="004C3F1D"/>
    <w:rsid w:val="004C458D"/>
    <w:rsid w:val="004C6FB9"/>
    <w:rsid w:val="004C7556"/>
    <w:rsid w:val="004C7E8B"/>
    <w:rsid w:val="004C7E9D"/>
    <w:rsid w:val="004C7F67"/>
    <w:rsid w:val="004D076D"/>
    <w:rsid w:val="004D0EF1"/>
    <w:rsid w:val="004D2253"/>
    <w:rsid w:val="004D4406"/>
    <w:rsid w:val="004D7C42"/>
    <w:rsid w:val="004E0465"/>
    <w:rsid w:val="004E127B"/>
    <w:rsid w:val="004E1C0A"/>
    <w:rsid w:val="004E30C5"/>
    <w:rsid w:val="004E491E"/>
    <w:rsid w:val="004E4AA5"/>
    <w:rsid w:val="004E4AEE"/>
    <w:rsid w:val="004E59E3"/>
    <w:rsid w:val="004E67C0"/>
    <w:rsid w:val="004F0C44"/>
    <w:rsid w:val="004F391A"/>
    <w:rsid w:val="004F3CFB"/>
    <w:rsid w:val="004F45C2"/>
    <w:rsid w:val="004F6456"/>
    <w:rsid w:val="004F696E"/>
    <w:rsid w:val="004F6C71"/>
    <w:rsid w:val="00501139"/>
    <w:rsid w:val="005029BC"/>
    <w:rsid w:val="0050363E"/>
    <w:rsid w:val="005039BC"/>
    <w:rsid w:val="005043BB"/>
    <w:rsid w:val="00504A3D"/>
    <w:rsid w:val="00505767"/>
    <w:rsid w:val="005073F0"/>
    <w:rsid w:val="00510A7B"/>
    <w:rsid w:val="00512F6E"/>
    <w:rsid w:val="00513038"/>
    <w:rsid w:val="00514174"/>
    <w:rsid w:val="00516088"/>
    <w:rsid w:val="00516B0B"/>
    <w:rsid w:val="005220EC"/>
    <w:rsid w:val="00522CAD"/>
    <w:rsid w:val="00523F95"/>
    <w:rsid w:val="00524D65"/>
    <w:rsid w:val="00525B16"/>
    <w:rsid w:val="00527AC8"/>
    <w:rsid w:val="0053250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40"/>
    <w:rsid w:val="00557CD4"/>
    <w:rsid w:val="00561475"/>
    <w:rsid w:val="00562308"/>
    <w:rsid w:val="005624EF"/>
    <w:rsid w:val="00564553"/>
    <w:rsid w:val="0056487B"/>
    <w:rsid w:val="00564F7A"/>
    <w:rsid w:val="00564FB9"/>
    <w:rsid w:val="00573C9B"/>
    <w:rsid w:val="00573D9E"/>
    <w:rsid w:val="00576E00"/>
    <w:rsid w:val="005801E3"/>
    <w:rsid w:val="00581802"/>
    <w:rsid w:val="005836A8"/>
    <w:rsid w:val="0058409C"/>
    <w:rsid w:val="00584262"/>
    <w:rsid w:val="00586630"/>
    <w:rsid w:val="00587ADD"/>
    <w:rsid w:val="00593A49"/>
    <w:rsid w:val="00596160"/>
    <w:rsid w:val="005966E2"/>
    <w:rsid w:val="00596C75"/>
    <w:rsid w:val="00597007"/>
    <w:rsid w:val="005A02C5"/>
    <w:rsid w:val="005A0966"/>
    <w:rsid w:val="005A11B7"/>
    <w:rsid w:val="005A2412"/>
    <w:rsid w:val="005A260B"/>
    <w:rsid w:val="005A4A1B"/>
    <w:rsid w:val="005A7830"/>
    <w:rsid w:val="005A7FCE"/>
    <w:rsid w:val="005B0CA7"/>
    <w:rsid w:val="005B0F3F"/>
    <w:rsid w:val="005B191C"/>
    <w:rsid w:val="005B4903"/>
    <w:rsid w:val="005B5043"/>
    <w:rsid w:val="005B51CE"/>
    <w:rsid w:val="005B5885"/>
    <w:rsid w:val="005B5CD7"/>
    <w:rsid w:val="005B6CF6"/>
    <w:rsid w:val="005B7085"/>
    <w:rsid w:val="005B7422"/>
    <w:rsid w:val="005C1EC2"/>
    <w:rsid w:val="005C29B8"/>
    <w:rsid w:val="005C4F61"/>
    <w:rsid w:val="005C5F21"/>
    <w:rsid w:val="005C7156"/>
    <w:rsid w:val="005D0C75"/>
    <w:rsid w:val="005D4171"/>
    <w:rsid w:val="005D671C"/>
    <w:rsid w:val="005D6A95"/>
    <w:rsid w:val="005D6B2C"/>
    <w:rsid w:val="005D6D9C"/>
    <w:rsid w:val="005E2335"/>
    <w:rsid w:val="005E34CA"/>
    <w:rsid w:val="005E357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760"/>
    <w:rsid w:val="00617387"/>
    <w:rsid w:val="006205D6"/>
    <w:rsid w:val="006207B4"/>
    <w:rsid w:val="0062326B"/>
    <w:rsid w:val="006252D8"/>
    <w:rsid w:val="006259BC"/>
    <w:rsid w:val="0062636B"/>
    <w:rsid w:val="00632182"/>
    <w:rsid w:val="00632AE0"/>
    <w:rsid w:val="00633C17"/>
    <w:rsid w:val="00634D9E"/>
    <w:rsid w:val="00636E3E"/>
    <w:rsid w:val="006379F7"/>
    <w:rsid w:val="00637E4D"/>
    <w:rsid w:val="00640620"/>
    <w:rsid w:val="00641A1F"/>
    <w:rsid w:val="006424D3"/>
    <w:rsid w:val="00642946"/>
    <w:rsid w:val="00645904"/>
    <w:rsid w:val="00651ACB"/>
    <w:rsid w:val="00651C47"/>
    <w:rsid w:val="00652AB2"/>
    <w:rsid w:val="00653FED"/>
    <w:rsid w:val="00654DBE"/>
    <w:rsid w:val="00654EC0"/>
    <w:rsid w:val="0065525B"/>
    <w:rsid w:val="00655D4F"/>
    <w:rsid w:val="00656D29"/>
    <w:rsid w:val="006572D5"/>
    <w:rsid w:val="006640E5"/>
    <w:rsid w:val="006646F1"/>
    <w:rsid w:val="00664929"/>
    <w:rsid w:val="00664F62"/>
    <w:rsid w:val="006655E1"/>
    <w:rsid w:val="00671267"/>
    <w:rsid w:val="00672060"/>
    <w:rsid w:val="00672BFD"/>
    <w:rsid w:val="00674EEB"/>
    <w:rsid w:val="00676547"/>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07F"/>
    <w:rsid w:val="006C1BBA"/>
    <w:rsid w:val="006C2079"/>
    <w:rsid w:val="006C29E6"/>
    <w:rsid w:val="006C5A62"/>
    <w:rsid w:val="006C5D68"/>
    <w:rsid w:val="006C6976"/>
    <w:rsid w:val="006C6DD0"/>
    <w:rsid w:val="006D04EA"/>
    <w:rsid w:val="006D0A57"/>
    <w:rsid w:val="006D16C4"/>
    <w:rsid w:val="006D3E96"/>
    <w:rsid w:val="006D4515"/>
    <w:rsid w:val="006D4BB1"/>
    <w:rsid w:val="006D6593"/>
    <w:rsid w:val="006F03A8"/>
    <w:rsid w:val="006F2881"/>
    <w:rsid w:val="006F2ACA"/>
    <w:rsid w:val="006F2ADC"/>
    <w:rsid w:val="006F2BFE"/>
    <w:rsid w:val="006F31E9"/>
    <w:rsid w:val="006F6284"/>
    <w:rsid w:val="007002C5"/>
    <w:rsid w:val="0070236A"/>
    <w:rsid w:val="00703884"/>
    <w:rsid w:val="00704387"/>
    <w:rsid w:val="00706188"/>
    <w:rsid w:val="00707669"/>
    <w:rsid w:val="00707DD1"/>
    <w:rsid w:val="00711CBA"/>
    <w:rsid w:val="00711FB5"/>
    <w:rsid w:val="00712A01"/>
    <w:rsid w:val="00714F58"/>
    <w:rsid w:val="00716ECE"/>
    <w:rsid w:val="00721BA0"/>
    <w:rsid w:val="00722FBF"/>
    <w:rsid w:val="00722FC2"/>
    <w:rsid w:val="00724E1B"/>
    <w:rsid w:val="00725949"/>
    <w:rsid w:val="00727FA2"/>
    <w:rsid w:val="00730FF0"/>
    <w:rsid w:val="007322D9"/>
    <w:rsid w:val="00732BC0"/>
    <w:rsid w:val="00732C4A"/>
    <w:rsid w:val="007365ED"/>
    <w:rsid w:val="00736892"/>
    <w:rsid w:val="0073720F"/>
    <w:rsid w:val="00737796"/>
    <w:rsid w:val="0074165C"/>
    <w:rsid w:val="00742C35"/>
    <w:rsid w:val="007432CA"/>
    <w:rsid w:val="007439EB"/>
    <w:rsid w:val="00743CB4"/>
    <w:rsid w:val="00743F0A"/>
    <w:rsid w:val="007444E8"/>
    <w:rsid w:val="0074548E"/>
    <w:rsid w:val="00745773"/>
    <w:rsid w:val="00745A19"/>
    <w:rsid w:val="00746800"/>
    <w:rsid w:val="007501A8"/>
    <w:rsid w:val="00750D61"/>
    <w:rsid w:val="00750EE1"/>
    <w:rsid w:val="00752B4D"/>
    <w:rsid w:val="007530FA"/>
    <w:rsid w:val="00755402"/>
    <w:rsid w:val="00756121"/>
    <w:rsid w:val="00756B26"/>
    <w:rsid w:val="00756EDF"/>
    <w:rsid w:val="007600E3"/>
    <w:rsid w:val="00761184"/>
    <w:rsid w:val="00765881"/>
    <w:rsid w:val="00765BDB"/>
    <w:rsid w:val="00765C43"/>
    <w:rsid w:val="00765EFB"/>
    <w:rsid w:val="007671CA"/>
    <w:rsid w:val="00767C61"/>
    <w:rsid w:val="0077008A"/>
    <w:rsid w:val="00773C1F"/>
    <w:rsid w:val="00774DA4"/>
    <w:rsid w:val="00776599"/>
    <w:rsid w:val="0078114B"/>
    <w:rsid w:val="00781DD2"/>
    <w:rsid w:val="00783ECF"/>
    <w:rsid w:val="0078413A"/>
    <w:rsid w:val="00787308"/>
    <w:rsid w:val="007959E8"/>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32A7"/>
    <w:rsid w:val="007F4820"/>
    <w:rsid w:val="007F75CE"/>
    <w:rsid w:val="007F78A8"/>
    <w:rsid w:val="008013A4"/>
    <w:rsid w:val="008027CE"/>
    <w:rsid w:val="00802F42"/>
    <w:rsid w:val="00804383"/>
    <w:rsid w:val="00804BB7"/>
    <w:rsid w:val="00804D41"/>
    <w:rsid w:val="00810257"/>
    <w:rsid w:val="008104F5"/>
    <w:rsid w:val="00811072"/>
    <w:rsid w:val="00811369"/>
    <w:rsid w:val="00814E50"/>
    <w:rsid w:val="00815419"/>
    <w:rsid w:val="008163C8"/>
    <w:rsid w:val="008164A1"/>
    <w:rsid w:val="00817325"/>
    <w:rsid w:val="008209E6"/>
    <w:rsid w:val="00821D19"/>
    <w:rsid w:val="00823303"/>
    <w:rsid w:val="008233B2"/>
    <w:rsid w:val="00823A9F"/>
    <w:rsid w:val="00823C85"/>
    <w:rsid w:val="00825138"/>
    <w:rsid w:val="00826167"/>
    <w:rsid w:val="008269DD"/>
    <w:rsid w:val="00830621"/>
    <w:rsid w:val="0083348C"/>
    <w:rsid w:val="008373D3"/>
    <w:rsid w:val="00840617"/>
    <w:rsid w:val="00840F84"/>
    <w:rsid w:val="00842A47"/>
    <w:rsid w:val="00843C13"/>
    <w:rsid w:val="00843DEF"/>
    <w:rsid w:val="008454F8"/>
    <w:rsid w:val="00846223"/>
    <w:rsid w:val="0085173A"/>
    <w:rsid w:val="008525F7"/>
    <w:rsid w:val="008603CE"/>
    <w:rsid w:val="008620FC"/>
    <w:rsid w:val="008627A5"/>
    <w:rsid w:val="00863E05"/>
    <w:rsid w:val="00865ACA"/>
    <w:rsid w:val="00865D28"/>
    <w:rsid w:val="00865F85"/>
    <w:rsid w:val="00866D89"/>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963"/>
    <w:rsid w:val="00896DFF"/>
    <w:rsid w:val="0089762C"/>
    <w:rsid w:val="008A058E"/>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74"/>
    <w:rsid w:val="008C619A"/>
    <w:rsid w:val="008D0CE8"/>
    <w:rsid w:val="008D1549"/>
    <w:rsid w:val="008D2D1D"/>
    <w:rsid w:val="008D453D"/>
    <w:rsid w:val="008D53AD"/>
    <w:rsid w:val="008D562B"/>
    <w:rsid w:val="008D5733"/>
    <w:rsid w:val="008D622B"/>
    <w:rsid w:val="008D666C"/>
    <w:rsid w:val="008D7074"/>
    <w:rsid w:val="008D7B54"/>
    <w:rsid w:val="008E0C9D"/>
    <w:rsid w:val="008E1648"/>
    <w:rsid w:val="008E1B3E"/>
    <w:rsid w:val="008E2319"/>
    <w:rsid w:val="008E4BB6"/>
    <w:rsid w:val="008E5518"/>
    <w:rsid w:val="008E6A84"/>
    <w:rsid w:val="008E6C21"/>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5965"/>
    <w:rsid w:val="009273B3"/>
    <w:rsid w:val="009305B5"/>
    <w:rsid w:val="00935F14"/>
    <w:rsid w:val="009378DD"/>
    <w:rsid w:val="009429D5"/>
    <w:rsid w:val="00942BF1"/>
    <w:rsid w:val="00945180"/>
    <w:rsid w:val="00945428"/>
    <w:rsid w:val="00945CE0"/>
    <w:rsid w:val="0094607B"/>
    <w:rsid w:val="00951BC4"/>
    <w:rsid w:val="00953604"/>
    <w:rsid w:val="00953769"/>
    <w:rsid w:val="0095496B"/>
    <w:rsid w:val="00960F1E"/>
    <w:rsid w:val="009610DC"/>
    <w:rsid w:val="00961490"/>
    <w:rsid w:val="0096381A"/>
    <w:rsid w:val="00964B57"/>
    <w:rsid w:val="00965E04"/>
    <w:rsid w:val="009674AD"/>
    <w:rsid w:val="00970CDC"/>
    <w:rsid w:val="00975727"/>
    <w:rsid w:val="00977010"/>
    <w:rsid w:val="00977736"/>
    <w:rsid w:val="00977D02"/>
    <w:rsid w:val="00977FF9"/>
    <w:rsid w:val="009809BB"/>
    <w:rsid w:val="0098364B"/>
    <w:rsid w:val="009905DA"/>
    <w:rsid w:val="009908A3"/>
    <w:rsid w:val="009911AF"/>
    <w:rsid w:val="00991875"/>
    <w:rsid w:val="00991F92"/>
    <w:rsid w:val="00992985"/>
    <w:rsid w:val="00993889"/>
    <w:rsid w:val="00993C23"/>
    <w:rsid w:val="0099551B"/>
    <w:rsid w:val="00996B3C"/>
    <w:rsid w:val="00996BD2"/>
    <w:rsid w:val="00997BF1"/>
    <w:rsid w:val="009A089C"/>
    <w:rsid w:val="009A118E"/>
    <w:rsid w:val="009A1354"/>
    <w:rsid w:val="009A21CD"/>
    <w:rsid w:val="009A278C"/>
    <w:rsid w:val="009A2BC2"/>
    <w:rsid w:val="009A42C1"/>
    <w:rsid w:val="009A5429"/>
    <w:rsid w:val="009A72AD"/>
    <w:rsid w:val="009B09E0"/>
    <w:rsid w:val="009B0BC5"/>
    <w:rsid w:val="009B1247"/>
    <w:rsid w:val="009B2893"/>
    <w:rsid w:val="009B6029"/>
    <w:rsid w:val="009B6831"/>
    <w:rsid w:val="009B6971"/>
    <w:rsid w:val="009B701C"/>
    <w:rsid w:val="009C0FF2"/>
    <w:rsid w:val="009C20FF"/>
    <w:rsid w:val="009C27F1"/>
    <w:rsid w:val="009C3152"/>
    <w:rsid w:val="009C3257"/>
    <w:rsid w:val="009C4CFA"/>
    <w:rsid w:val="009C5070"/>
    <w:rsid w:val="009D112C"/>
    <w:rsid w:val="009D1385"/>
    <w:rsid w:val="009D47FA"/>
    <w:rsid w:val="009D4C5B"/>
    <w:rsid w:val="009D50D2"/>
    <w:rsid w:val="009D613B"/>
    <w:rsid w:val="009D6BCA"/>
    <w:rsid w:val="009E0F62"/>
    <w:rsid w:val="009E4A58"/>
    <w:rsid w:val="009E5A2D"/>
    <w:rsid w:val="009E5AB2"/>
    <w:rsid w:val="009E6219"/>
    <w:rsid w:val="009E6859"/>
    <w:rsid w:val="009E7586"/>
    <w:rsid w:val="009F03B3"/>
    <w:rsid w:val="009F37EA"/>
    <w:rsid w:val="009F3E75"/>
    <w:rsid w:val="00A0096C"/>
    <w:rsid w:val="00A01757"/>
    <w:rsid w:val="00A028C0"/>
    <w:rsid w:val="00A02BAE"/>
    <w:rsid w:val="00A05AF8"/>
    <w:rsid w:val="00A06A6B"/>
    <w:rsid w:val="00A07E47"/>
    <w:rsid w:val="00A129D0"/>
    <w:rsid w:val="00A12C33"/>
    <w:rsid w:val="00A138BA"/>
    <w:rsid w:val="00A14C8E"/>
    <w:rsid w:val="00A14E70"/>
    <w:rsid w:val="00A153D9"/>
    <w:rsid w:val="00A15F09"/>
    <w:rsid w:val="00A169B6"/>
    <w:rsid w:val="00A2271D"/>
    <w:rsid w:val="00A237D5"/>
    <w:rsid w:val="00A25ED3"/>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2A97"/>
    <w:rsid w:val="00A52EEC"/>
    <w:rsid w:val="00A55BD6"/>
    <w:rsid w:val="00A55D50"/>
    <w:rsid w:val="00A57142"/>
    <w:rsid w:val="00A574FC"/>
    <w:rsid w:val="00A63453"/>
    <w:rsid w:val="00A648CD"/>
    <w:rsid w:val="00A6537A"/>
    <w:rsid w:val="00A67866"/>
    <w:rsid w:val="00A70B07"/>
    <w:rsid w:val="00A723F8"/>
    <w:rsid w:val="00A72EE0"/>
    <w:rsid w:val="00A74883"/>
    <w:rsid w:val="00A77CCB"/>
    <w:rsid w:val="00A83D8D"/>
    <w:rsid w:val="00A8446B"/>
    <w:rsid w:val="00A8473F"/>
    <w:rsid w:val="00A862D6"/>
    <w:rsid w:val="00A8715E"/>
    <w:rsid w:val="00A91470"/>
    <w:rsid w:val="00A9295B"/>
    <w:rsid w:val="00A93B09"/>
    <w:rsid w:val="00A952D7"/>
    <w:rsid w:val="00A963F7"/>
    <w:rsid w:val="00A96AD8"/>
    <w:rsid w:val="00A970EE"/>
    <w:rsid w:val="00AA052C"/>
    <w:rsid w:val="00AA1E45"/>
    <w:rsid w:val="00AA4286"/>
    <w:rsid w:val="00AA456B"/>
    <w:rsid w:val="00AA57F5"/>
    <w:rsid w:val="00AA672E"/>
    <w:rsid w:val="00AA6EC9"/>
    <w:rsid w:val="00AB11F6"/>
    <w:rsid w:val="00AB6309"/>
    <w:rsid w:val="00AB6C5F"/>
    <w:rsid w:val="00AB7129"/>
    <w:rsid w:val="00AC27A6"/>
    <w:rsid w:val="00AC30F7"/>
    <w:rsid w:val="00AC3A5A"/>
    <w:rsid w:val="00AC4D95"/>
    <w:rsid w:val="00AC5DF4"/>
    <w:rsid w:val="00AD0AEF"/>
    <w:rsid w:val="00AD0F4B"/>
    <w:rsid w:val="00AD11B7"/>
    <w:rsid w:val="00AD1A94"/>
    <w:rsid w:val="00AD1C05"/>
    <w:rsid w:val="00AD4126"/>
    <w:rsid w:val="00AD421C"/>
    <w:rsid w:val="00AD44FA"/>
    <w:rsid w:val="00AE070A"/>
    <w:rsid w:val="00AE0D83"/>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0A"/>
    <w:rsid w:val="00B261F1"/>
    <w:rsid w:val="00B265BC"/>
    <w:rsid w:val="00B26655"/>
    <w:rsid w:val="00B31FB1"/>
    <w:rsid w:val="00B3319D"/>
    <w:rsid w:val="00B33952"/>
    <w:rsid w:val="00B33C5E"/>
    <w:rsid w:val="00B342F4"/>
    <w:rsid w:val="00B34369"/>
    <w:rsid w:val="00B34DC2"/>
    <w:rsid w:val="00B378E5"/>
    <w:rsid w:val="00B4346D"/>
    <w:rsid w:val="00B440F4"/>
    <w:rsid w:val="00B447A5"/>
    <w:rsid w:val="00B450B8"/>
    <w:rsid w:val="00B4654C"/>
    <w:rsid w:val="00B47293"/>
    <w:rsid w:val="00B50E50"/>
    <w:rsid w:val="00B52120"/>
    <w:rsid w:val="00B54ABC"/>
    <w:rsid w:val="00B56BB6"/>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7DC"/>
    <w:rsid w:val="00BA263B"/>
    <w:rsid w:val="00BA42B2"/>
    <w:rsid w:val="00BA58D4"/>
    <w:rsid w:val="00BA5B9E"/>
    <w:rsid w:val="00BA70F9"/>
    <w:rsid w:val="00BA7C9A"/>
    <w:rsid w:val="00BB5F8F"/>
    <w:rsid w:val="00BB657A"/>
    <w:rsid w:val="00BC1A4E"/>
    <w:rsid w:val="00BC54AD"/>
    <w:rsid w:val="00BC5DC7"/>
    <w:rsid w:val="00BC6B8B"/>
    <w:rsid w:val="00BC73D8"/>
    <w:rsid w:val="00BD52D7"/>
    <w:rsid w:val="00BD5AD2"/>
    <w:rsid w:val="00BE22F3"/>
    <w:rsid w:val="00BE5B52"/>
    <w:rsid w:val="00BE7B8D"/>
    <w:rsid w:val="00BF0993"/>
    <w:rsid w:val="00BF10A9"/>
    <w:rsid w:val="00BF1703"/>
    <w:rsid w:val="00BF231C"/>
    <w:rsid w:val="00BF2ECF"/>
    <w:rsid w:val="00BF51E5"/>
    <w:rsid w:val="00BF74A6"/>
    <w:rsid w:val="00C013AD"/>
    <w:rsid w:val="00C04398"/>
    <w:rsid w:val="00C04904"/>
    <w:rsid w:val="00C056B3"/>
    <w:rsid w:val="00C103E5"/>
    <w:rsid w:val="00C13319"/>
    <w:rsid w:val="00C13EE9"/>
    <w:rsid w:val="00C21540"/>
    <w:rsid w:val="00C21906"/>
    <w:rsid w:val="00C21BFA"/>
    <w:rsid w:val="00C23745"/>
    <w:rsid w:val="00C24C8D"/>
    <w:rsid w:val="00C25FE2"/>
    <w:rsid w:val="00C26B53"/>
    <w:rsid w:val="00C279B2"/>
    <w:rsid w:val="00C33E50"/>
    <w:rsid w:val="00C34181"/>
    <w:rsid w:val="00C34C20"/>
    <w:rsid w:val="00C35A3E"/>
    <w:rsid w:val="00C42130"/>
    <w:rsid w:val="00C423A4"/>
    <w:rsid w:val="00C423E3"/>
    <w:rsid w:val="00C44BF5"/>
    <w:rsid w:val="00C46D15"/>
    <w:rsid w:val="00C46E54"/>
    <w:rsid w:val="00C521D6"/>
    <w:rsid w:val="00C546C7"/>
    <w:rsid w:val="00C55232"/>
    <w:rsid w:val="00C553A4"/>
    <w:rsid w:val="00C55A06"/>
    <w:rsid w:val="00C55D03"/>
    <w:rsid w:val="00C601BC"/>
    <w:rsid w:val="00C6329F"/>
    <w:rsid w:val="00C63340"/>
    <w:rsid w:val="00C643F9"/>
    <w:rsid w:val="00C64689"/>
    <w:rsid w:val="00C64A12"/>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2AC"/>
    <w:rsid w:val="00CA662A"/>
    <w:rsid w:val="00CA7AFD"/>
    <w:rsid w:val="00CA7C3C"/>
    <w:rsid w:val="00CB0189"/>
    <w:rsid w:val="00CB07F8"/>
    <w:rsid w:val="00CB0BA2"/>
    <w:rsid w:val="00CB1642"/>
    <w:rsid w:val="00CB1A42"/>
    <w:rsid w:val="00CB1B0C"/>
    <w:rsid w:val="00CB2C0B"/>
    <w:rsid w:val="00CB517D"/>
    <w:rsid w:val="00CC038D"/>
    <w:rsid w:val="00CC08DB"/>
    <w:rsid w:val="00CC0FFA"/>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5D1"/>
    <w:rsid w:val="00CE0C4F"/>
    <w:rsid w:val="00CE1D03"/>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0FA"/>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4CE6"/>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BDD"/>
    <w:rsid w:val="00DA5C13"/>
    <w:rsid w:val="00DA64F8"/>
    <w:rsid w:val="00DA6C15"/>
    <w:rsid w:val="00DA7479"/>
    <w:rsid w:val="00DB0258"/>
    <w:rsid w:val="00DB1F17"/>
    <w:rsid w:val="00DB38EE"/>
    <w:rsid w:val="00DB498B"/>
    <w:rsid w:val="00DB66CA"/>
    <w:rsid w:val="00DB6BCA"/>
    <w:rsid w:val="00DB6F54"/>
    <w:rsid w:val="00DB73F7"/>
    <w:rsid w:val="00DC0321"/>
    <w:rsid w:val="00DC3067"/>
    <w:rsid w:val="00DC370B"/>
    <w:rsid w:val="00DC474F"/>
    <w:rsid w:val="00DC5B90"/>
    <w:rsid w:val="00DD00FF"/>
    <w:rsid w:val="00DD0619"/>
    <w:rsid w:val="00DD07FB"/>
    <w:rsid w:val="00DD25C6"/>
    <w:rsid w:val="00DD4FE5"/>
    <w:rsid w:val="00DD54B0"/>
    <w:rsid w:val="00DD57EE"/>
    <w:rsid w:val="00DD6BCC"/>
    <w:rsid w:val="00DE07A0"/>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2CE5"/>
    <w:rsid w:val="00E15CCD"/>
    <w:rsid w:val="00E202EF"/>
    <w:rsid w:val="00E20A21"/>
    <w:rsid w:val="00E20B52"/>
    <w:rsid w:val="00E210B5"/>
    <w:rsid w:val="00E253A3"/>
    <w:rsid w:val="00E2552F"/>
    <w:rsid w:val="00E3137A"/>
    <w:rsid w:val="00E32CCF"/>
    <w:rsid w:val="00E34A98"/>
    <w:rsid w:val="00E35397"/>
    <w:rsid w:val="00E35642"/>
    <w:rsid w:val="00E35D1E"/>
    <w:rsid w:val="00E364F9"/>
    <w:rsid w:val="00E365FA"/>
    <w:rsid w:val="00E36789"/>
    <w:rsid w:val="00E44A83"/>
    <w:rsid w:val="00E45646"/>
    <w:rsid w:val="00E47883"/>
    <w:rsid w:val="00E502C1"/>
    <w:rsid w:val="00E502DD"/>
    <w:rsid w:val="00E50D3A"/>
    <w:rsid w:val="00E51387"/>
    <w:rsid w:val="00E51E68"/>
    <w:rsid w:val="00E52EFD"/>
    <w:rsid w:val="00E5408A"/>
    <w:rsid w:val="00E56800"/>
    <w:rsid w:val="00E60C63"/>
    <w:rsid w:val="00E62FF9"/>
    <w:rsid w:val="00E635D6"/>
    <w:rsid w:val="00E639BC"/>
    <w:rsid w:val="00E664CC"/>
    <w:rsid w:val="00E66A6C"/>
    <w:rsid w:val="00E70388"/>
    <w:rsid w:val="00E70F92"/>
    <w:rsid w:val="00E74313"/>
    <w:rsid w:val="00E74C54"/>
    <w:rsid w:val="00E76792"/>
    <w:rsid w:val="00E77A03"/>
    <w:rsid w:val="00E810D5"/>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6D97"/>
    <w:rsid w:val="00EA05C8"/>
    <w:rsid w:val="00EA58D1"/>
    <w:rsid w:val="00EA61BC"/>
    <w:rsid w:val="00EA681A"/>
    <w:rsid w:val="00EA735B"/>
    <w:rsid w:val="00EB1A84"/>
    <w:rsid w:val="00EB1E69"/>
    <w:rsid w:val="00EB2086"/>
    <w:rsid w:val="00EB31ED"/>
    <w:rsid w:val="00EB5EDF"/>
    <w:rsid w:val="00EB60FE"/>
    <w:rsid w:val="00EB74DB"/>
    <w:rsid w:val="00EC5359"/>
    <w:rsid w:val="00EC562A"/>
    <w:rsid w:val="00EC74CA"/>
    <w:rsid w:val="00ED067A"/>
    <w:rsid w:val="00ED2B50"/>
    <w:rsid w:val="00ED7C65"/>
    <w:rsid w:val="00EE0350"/>
    <w:rsid w:val="00EE0719"/>
    <w:rsid w:val="00EE0E80"/>
    <w:rsid w:val="00EE143D"/>
    <w:rsid w:val="00EE55AF"/>
    <w:rsid w:val="00EE613F"/>
    <w:rsid w:val="00EE7295"/>
    <w:rsid w:val="00EE7869"/>
    <w:rsid w:val="00EF054A"/>
    <w:rsid w:val="00EF3235"/>
    <w:rsid w:val="00EF7E72"/>
    <w:rsid w:val="00F05188"/>
    <w:rsid w:val="00F06D37"/>
    <w:rsid w:val="00F07B9D"/>
    <w:rsid w:val="00F11586"/>
    <w:rsid w:val="00F1183B"/>
    <w:rsid w:val="00F11C9F"/>
    <w:rsid w:val="00F12263"/>
    <w:rsid w:val="00F1409D"/>
    <w:rsid w:val="00F14214"/>
    <w:rsid w:val="00F157A9"/>
    <w:rsid w:val="00F16F00"/>
    <w:rsid w:val="00F25BB6"/>
    <w:rsid w:val="00F26B7E"/>
    <w:rsid w:val="00F27A3B"/>
    <w:rsid w:val="00F320AE"/>
    <w:rsid w:val="00F32780"/>
    <w:rsid w:val="00F33817"/>
    <w:rsid w:val="00F37DAC"/>
    <w:rsid w:val="00F41BB3"/>
    <w:rsid w:val="00F420D5"/>
    <w:rsid w:val="00F451EA"/>
    <w:rsid w:val="00F45447"/>
    <w:rsid w:val="00F456C6"/>
    <w:rsid w:val="00F4577B"/>
    <w:rsid w:val="00F46496"/>
    <w:rsid w:val="00F46928"/>
    <w:rsid w:val="00F474D0"/>
    <w:rsid w:val="00F50179"/>
    <w:rsid w:val="00F515EE"/>
    <w:rsid w:val="00F56511"/>
    <w:rsid w:val="00F6194E"/>
    <w:rsid w:val="00F623AC"/>
    <w:rsid w:val="00F6412A"/>
    <w:rsid w:val="00F65893"/>
    <w:rsid w:val="00F66A4A"/>
    <w:rsid w:val="00F71E22"/>
    <w:rsid w:val="00F72142"/>
    <w:rsid w:val="00F728CE"/>
    <w:rsid w:val="00F72AE7"/>
    <w:rsid w:val="00F73CF2"/>
    <w:rsid w:val="00F7614E"/>
    <w:rsid w:val="00F802AE"/>
    <w:rsid w:val="00F833BA"/>
    <w:rsid w:val="00F84202"/>
    <w:rsid w:val="00F84FD0"/>
    <w:rsid w:val="00F859A8"/>
    <w:rsid w:val="00F86D87"/>
    <w:rsid w:val="00F9029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17B7"/>
    <w:rsid w:val="00FC2CB7"/>
    <w:rsid w:val="00FC307C"/>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E87"/>
    <w:rsid w:val="00FF3E7D"/>
    <w:rsid w:val="00FF5B0D"/>
    <w:rsid w:val="00FF5B99"/>
    <w:rsid w:val="00FF730C"/>
    <w:rsid w:val="00FF73F4"/>
    <w:rsid w:val="00FF7CE4"/>
    <w:rsid w:val="00FF7E39"/>
    <w:rsid w:val="32D731DE"/>
    <w:rsid w:val="405E4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autoRedefine/>
    <w:unhideWhenUsed/>
    <w:uiPriority w:val="39"/>
    <w:pPr>
      <w:ind w:left="839"/>
    </w:pPr>
    <w:rPr>
      <w:rFonts w:ascii="宋体"/>
    </w:rPr>
  </w:style>
  <w:style w:type="paragraph" w:styleId="16">
    <w:name w:val="toc 3"/>
    <w:basedOn w:val="1"/>
    <w:next w:val="1"/>
    <w:autoRedefine/>
    <w:unhideWhenUsed/>
    <w:uiPriority w:val="39"/>
    <w:pPr>
      <w:spacing w:line="300" w:lineRule="exact"/>
      <w:ind w:left="420"/>
    </w:pPr>
    <w:rPr>
      <w:rFonts w:ascii="宋体"/>
    </w:rPr>
  </w:style>
  <w:style w:type="paragraph" w:styleId="17">
    <w:name w:val="Balloon Text"/>
    <w:basedOn w:val="1"/>
    <w:link w:val="46"/>
    <w:semiHidden/>
    <w:unhideWhenUsed/>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字符"/>
    <w:basedOn w:val="29"/>
    <w:link w:val="13"/>
    <w:semiHidden/>
    <w:qFormat/>
    <w:uiPriority w:val="99"/>
    <w:rPr>
      <w:rFonts w:ascii="宋体"/>
      <w:kern w:val="2"/>
      <w:sz w:val="18"/>
      <w:szCs w:val="18"/>
    </w:rPr>
  </w:style>
  <w:style w:type="paragraph" w:styleId="23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5" Type="http://schemas.openxmlformats.org/officeDocument/2006/relationships/glossaryDocument" Target="glossary/document.xml"/><Relationship Id="rId54" Type="http://schemas.openxmlformats.org/officeDocument/2006/relationships/fontTable" Target="fontTable.xml"/><Relationship Id="rId53" Type="http://schemas.openxmlformats.org/officeDocument/2006/relationships/customXml" Target="../customXml/item2.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image" Target="media/image3.jpeg"/><Relationship Id="rId5" Type="http://schemas.openxmlformats.org/officeDocument/2006/relationships/header" Target="header1.xml"/><Relationship Id="rId49" Type="http://schemas.openxmlformats.org/officeDocument/2006/relationships/image" Target="media/image2.png"/><Relationship Id="rId48" Type="http://schemas.openxmlformats.org/officeDocument/2006/relationships/image" Target="media/image1.png"/><Relationship Id="rId47" Type="http://schemas.openxmlformats.org/officeDocument/2006/relationships/theme" Target="theme/theme1.xml"/><Relationship Id="rId46" Type="http://schemas.openxmlformats.org/officeDocument/2006/relationships/footer" Target="footer21.xml"/><Relationship Id="rId45" Type="http://schemas.openxmlformats.org/officeDocument/2006/relationships/footer" Target="footer20.xml"/><Relationship Id="rId44" Type="http://schemas.openxmlformats.org/officeDocument/2006/relationships/header" Target="header21.xml"/><Relationship Id="rId43" Type="http://schemas.openxmlformats.org/officeDocument/2006/relationships/header" Target="header20.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502959BF3244B5587813501B04DB51E"/>
        <w:style w:val=""/>
        <w:category>
          <w:name w:val="常规"/>
          <w:gallery w:val="placeholder"/>
        </w:category>
        <w:types>
          <w:type w:val="bbPlcHdr"/>
        </w:types>
        <w:behaviors>
          <w:behavior w:val="content"/>
        </w:behaviors>
        <w:description w:val=""/>
        <w:guid w:val="{1F255E7B-55ED-4678-9ABD-92131941ECCA}"/>
      </w:docPartPr>
      <w:docPartBody>
        <w:p w14:paraId="74994596">
          <w:pPr>
            <w:pStyle w:val="5"/>
            <w:rPr>
              <w:rFonts w:hint="eastAsia"/>
            </w:rPr>
          </w:pPr>
          <w:r>
            <w:rPr>
              <w:rStyle w:val="4"/>
              <w:rFonts w:hint="eastAsia"/>
            </w:rPr>
            <w:t>单击或点击此处输入文字。</w:t>
          </w:r>
        </w:p>
      </w:docPartBody>
    </w:docPart>
    <w:docPart>
      <w:docPartPr>
        <w:name w:val="C788A77752D04A4B9559B14FD762295E"/>
        <w:style w:val=""/>
        <w:category>
          <w:name w:val="常规"/>
          <w:gallery w:val="placeholder"/>
        </w:category>
        <w:types>
          <w:type w:val="bbPlcHdr"/>
        </w:types>
        <w:behaviors>
          <w:behavior w:val="content"/>
        </w:behaviors>
        <w:description w:val=""/>
        <w:guid w:val="{677888C4-7E55-468B-A6FF-BB17C766E859}"/>
      </w:docPartPr>
      <w:docPartBody>
        <w:p w14:paraId="6AB92B54">
          <w:pPr>
            <w:pStyle w:val="6"/>
            <w:rPr>
              <w:rFonts w:hint="eastAsia"/>
            </w:rPr>
          </w:pPr>
          <w:r>
            <w:rPr>
              <w:rStyle w:val="4"/>
              <w:rFonts w:hint="eastAsia"/>
            </w:rPr>
            <w:t>选择一项。</w:t>
          </w:r>
        </w:p>
      </w:docPartBody>
    </w:docPart>
    <w:docPart>
      <w:docPartPr>
        <w:name w:val="3CC5511E09A648B5BB5359BB27A4CD9B"/>
        <w:style w:val=""/>
        <w:category>
          <w:name w:val="常规"/>
          <w:gallery w:val="placeholder"/>
        </w:category>
        <w:types>
          <w:type w:val="bbPlcHdr"/>
        </w:types>
        <w:behaviors>
          <w:behavior w:val="content"/>
        </w:behaviors>
        <w:description w:val=""/>
        <w:guid w:val="{4EE5241F-ED24-4B0F-88E4-89DCC9328E61}"/>
      </w:docPartPr>
      <w:docPartBody>
        <w:p w14:paraId="21E496A8">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38F3"/>
    <w:rsid w:val="001C56E2"/>
    <w:rsid w:val="0026239B"/>
    <w:rsid w:val="002C77F0"/>
    <w:rsid w:val="00301BE9"/>
    <w:rsid w:val="0037345C"/>
    <w:rsid w:val="00380662"/>
    <w:rsid w:val="004A4EED"/>
    <w:rsid w:val="00581E25"/>
    <w:rsid w:val="005A2412"/>
    <w:rsid w:val="00752021"/>
    <w:rsid w:val="007530FA"/>
    <w:rsid w:val="0088223B"/>
    <w:rsid w:val="00991EEE"/>
    <w:rsid w:val="00A025B3"/>
    <w:rsid w:val="00A52EEC"/>
    <w:rsid w:val="00AB11F6"/>
    <w:rsid w:val="00B22645"/>
    <w:rsid w:val="00B374E3"/>
    <w:rsid w:val="00D156DD"/>
    <w:rsid w:val="00D4022F"/>
    <w:rsid w:val="00E47883"/>
    <w:rsid w:val="00E73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502959BF3244B5587813501B04DB5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788A77752D04A4B9559B14FD762295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CC5511E09A648B5BB5359BB27A4CD9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3BA69-34A1-4E25-B77B-2C59CABF2D94}">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19</Pages>
  <Words>5624</Words>
  <Characters>5923</Characters>
  <Lines>488</Lines>
  <Paragraphs>565</Paragraphs>
  <TotalTime>1070</TotalTime>
  <ScaleCrop>false</ScaleCrop>
  <LinksUpToDate>false</LinksUpToDate>
  <CharactersWithSpaces>6118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2023-04-25T06:51:00Z</dcterms:created>
  <dc:creator>Administrator</dc:creator>
  <dc:description>&lt;config cover="true" show_menu="true" version="1.0.0" doctype="SDKXY"&gt;_x000d_
&lt;/config&gt;</dc:description>
  <cp:lastModifiedBy>河中鱼</cp:lastModifiedBy>
  <cp:lastPrinted>2021-02-02T08:22:00Z</cp:lastPrinted>
  <dcterms:modified xsi:type="dcterms:W3CDTF">2026-06-28T13:17:13Z</dcterms:modified>
  <dc:title>团体标准</dc:title>
  <cp:revision>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eyJoZGlkIjoiZjFmZWIzNDg2MmIzZjExOTIzMmViNTBmYTMwYTk0ZWYiLCJ1c2VySWQiOiIxNjgzMDY0NzMzIn0=</vt:lpwstr>
  </property>
  <property fmtid="{D5CDD505-2E9C-101B-9397-08002B2CF9AE}" pid="16" name="KSOProductBuildVer">
    <vt:lpwstr>2052-12.1.0.26895</vt:lpwstr>
  </property>
  <property fmtid="{D5CDD505-2E9C-101B-9397-08002B2CF9AE}" pid="17" name="ICV">
    <vt:lpwstr>0AA8538BE3D94EC792985BCCE29CCC8E_12</vt:lpwstr>
  </property>
</Properties>
</file>